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26D23" w:rsidR="00E26D23" w:rsidP="4D7C0164" w:rsidRDefault="00E26D23" w14:paraId="678325CC" w14:textId="038EB773">
      <w:pPr>
        <w:widowControl w:val="0"/>
        <w:spacing w:after="0" w:line="240" w:lineRule="auto"/>
        <w:rPr>
          <w:rFonts w:ascii="Arial" w:hAnsi="Arial" w:eastAsia="Times New Roman" w:cs="Arial"/>
          <w:lang w:val="en-GB" w:bidi="en-US"/>
        </w:rPr>
      </w:pPr>
      <w:bookmarkStart w:name="_GoBack" w:id="0"/>
      <w:bookmarkEnd w:id="0"/>
      <w:r w:rsidRPr="00E26D23">
        <w:rPr>
          <w:rFonts w:ascii="Arial" w:hAnsi="Arial" w:eastAsia="Times New Roman" w:cs="Arial"/>
          <w:noProof/>
          <w:color w:val="2B579A"/>
          <w:szCs w:val="24"/>
          <w:shd w:val="clear" w:color="auto" w:fill="E6E6E6"/>
          <w:lang w:val="en-GB" w:eastAsia="en-GB"/>
        </w:rPr>
        <w:drawing>
          <wp:inline distT="0" distB="0" distL="0" distR="0" wp14:anchorId="15964914" wp14:editId="15207160">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Pr="00E26D23" w:rsidR="00E26D23" w:rsidP="00E26D23" w:rsidRDefault="00E26D23" w14:paraId="2D4DFA8C" w14:textId="77777777">
      <w:pPr>
        <w:widowControl w:val="0"/>
        <w:spacing w:after="0" w:line="240" w:lineRule="auto"/>
        <w:rPr>
          <w:rFonts w:ascii="Arial" w:hAnsi="Arial" w:eastAsia="Times New Roman" w:cs="Times New Roman"/>
          <w:color w:val="FF0000"/>
          <w:szCs w:val="24"/>
          <w:lang w:val="en-GB" w:bidi="en-US"/>
        </w:rPr>
      </w:pPr>
    </w:p>
    <w:p w:rsidRPr="0003486E" w:rsidR="00E26D23" w:rsidP="00E26D23" w:rsidRDefault="006169F6" w14:paraId="239194DE" w14:textId="356F682F">
      <w:pPr>
        <w:widowControl w:val="0"/>
        <w:spacing w:after="0" w:line="240" w:lineRule="auto"/>
        <w:rPr>
          <w:rFonts w:ascii="Arial" w:hAnsi="Arial" w:eastAsia="Times New Roman" w:cs="Times New Roman"/>
          <w:b/>
          <w:sz w:val="28"/>
          <w:szCs w:val="28"/>
          <w:lang w:val="en-GB" w:bidi="en-US"/>
        </w:rPr>
      </w:pPr>
      <w:r w:rsidRPr="0003486E">
        <w:rPr>
          <w:rFonts w:ascii="Arial" w:hAnsi="Arial" w:eastAsia="Times New Roman" w:cs="Times New Roman"/>
          <w:b/>
          <w:sz w:val="28"/>
          <w:szCs w:val="28"/>
          <w:lang w:val="en-GB" w:bidi="en-US"/>
        </w:rPr>
        <w:t>15 August 2022</w:t>
      </w:r>
    </w:p>
    <w:p w:rsidRPr="0003486E" w:rsidR="00E26D23" w:rsidP="00E26D23" w:rsidRDefault="006169F6" w14:paraId="2308D17B" w14:textId="5346E0E5">
      <w:pPr>
        <w:widowControl w:val="0"/>
        <w:spacing w:after="0" w:line="240" w:lineRule="auto"/>
        <w:rPr>
          <w:rFonts w:ascii="Arial" w:hAnsi="Arial" w:eastAsia="Times New Roman" w:cs="Times New Roman"/>
          <w:b/>
          <w:sz w:val="28"/>
          <w:szCs w:val="28"/>
          <w:lang w:val="en-GB" w:bidi="en-US"/>
        </w:rPr>
      </w:pPr>
      <w:r w:rsidRPr="0003486E">
        <w:rPr>
          <w:rFonts w:ascii="Arial" w:hAnsi="Arial" w:eastAsia="Times New Roman" w:cs="Times New Roman"/>
          <w:b/>
          <w:sz w:val="28"/>
          <w:szCs w:val="28"/>
          <w:lang w:val="en-GB" w:bidi="en-US"/>
        </w:rPr>
        <w:t>212-22</w:t>
      </w:r>
    </w:p>
    <w:p w:rsidRPr="0003486E" w:rsidR="00E26D23" w:rsidP="00E26D23" w:rsidRDefault="00E26D23" w14:paraId="24592471" w14:textId="77777777">
      <w:pPr>
        <w:widowControl w:val="0"/>
        <w:spacing w:after="0" w:line="240" w:lineRule="auto"/>
        <w:rPr>
          <w:rFonts w:ascii="Arial" w:hAnsi="Arial" w:eastAsia="Times New Roman" w:cs="Times New Roman"/>
          <w:szCs w:val="24"/>
          <w:lang w:val="en-GB" w:bidi="en-US"/>
        </w:rPr>
      </w:pPr>
    </w:p>
    <w:p w:rsidRPr="00E26D23" w:rsidR="00E26D23" w:rsidP="6022E17D" w:rsidRDefault="00E26D23" w14:paraId="0AD7C4D7" w14:textId="6F2C5A78">
      <w:pPr>
        <w:widowControl w:val="0"/>
        <w:spacing w:after="0" w:line="240" w:lineRule="auto"/>
        <w:rPr>
          <w:rFonts w:ascii="Arial" w:hAnsi="Arial" w:eastAsia="Times New Roman" w:cs="Tahoma"/>
          <w:sz w:val="32"/>
          <w:szCs w:val="32"/>
          <w:lang w:val="en-GB" w:bidi="en-US"/>
        </w:rPr>
      </w:pPr>
      <w:r w:rsidRPr="6022E17D">
        <w:rPr>
          <w:rFonts w:ascii="Arial" w:hAnsi="Arial" w:eastAsia="Times New Roman" w:cs="Tahoma"/>
          <w:sz w:val="32"/>
          <w:szCs w:val="32"/>
          <w:lang w:val="en-GB" w:bidi="en-US"/>
        </w:rPr>
        <w:t>Approval report – Application A1238</w:t>
      </w:r>
    </w:p>
    <w:p w:rsidRPr="00E26D23" w:rsidR="00E26D23" w:rsidP="00E26D23" w:rsidRDefault="00E26D23" w14:paraId="12A73204" w14:textId="77777777">
      <w:pPr>
        <w:widowControl w:val="0"/>
        <w:spacing w:after="0" w:line="240" w:lineRule="auto"/>
        <w:rPr>
          <w:rFonts w:ascii="Arial" w:hAnsi="Arial" w:eastAsia="Times New Roman" w:cs="Times New Roman"/>
          <w:szCs w:val="24"/>
          <w:lang w:val="en-GB" w:bidi="en-US"/>
        </w:rPr>
      </w:pPr>
    </w:p>
    <w:p w:rsidRPr="00477B2D" w:rsidR="00E26D23" w:rsidP="7CF8B2AD" w:rsidRDefault="00E26D23" w14:paraId="74DB0D25" w14:textId="77777777">
      <w:pPr>
        <w:rPr>
          <w:rFonts w:ascii="Arial" w:hAnsi="Arial" w:cs="Arial"/>
          <w:b/>
          <w:bCs/>
        </w:rPr>
      </w:pPr>
      <w:r w:rsidRPr="6022E17D">
        <w:rPr>
          <w:rFonts w:ascii="Arial" w:hAnsi="Arial" w:cs="Arial"/>
          <w:b/>
          <w:bCs/>
        </w:rPr>
        <w:t xml:space="preserve">Serine endopeptidase enzyme from GM </w:t>
      </w:r>
      <w:r w:rsidRPr="6022E17D">
        <w:rPr>
          <w:rFonts w:ascii="Arial" w:hAnsi="Arial" w:cs="Arial"/>
          <w:b/>
          <w:bCs/>
          <w:i/>
          <w:iCs/>
        </w:rPr>
        <w:t>Trichoderma reesei</w:t>
      </w:r>
    </w:p>
    <w:p w:rsidRPr="00E26D23" w:rsidR="00E26D23" w:rsidP="7CF8B2AD" w:rsidRDefault="00E26D23" w14:paraId="2C28FF1E" w14:textId="33EFC82B">
      <w:pPr>
        <w:widowControl w:val="0"/>
        <w:spacing w:after="0" w:line="240" w:lineRule="auto"/>
        <w:rPr>
          <w:rFonts w:ascii="Arial" w:hAnsi="Arial" w:eastAsia="Times New Roman" w:cs="Times New Roman"/>
          <w:lang w:bidi="en-US"/>
        </w:rPr>
      </w:pPr>
      <w:r w:rsidRPr="7DF58A1D">
        <w:rPr>
          <w:rFonts w:ascii="Arial" w:hAnsi="Arial" w:eastAsia="Times New Roman" w:cs="Times New Roman"/>
          <w:lang w:val="en-GB" w:bidi="en-US"/>
        </w:rPr>
        <w:t xml:space="preserve">Food Standards Australia New Zealand (FSANZ) has assessed an application made by AB Enzymes </w:t>
      </w:r>
      <w:r w:rsidRPr="7DF58A1D" w:rsidR="00106CC7">
        <w:rPr>
          <w:rFonts w:ascii="Arial" w:hAnsi="Arial" w:cs="Arial"/>
        </w:rPr>
        <w:t>GmbH</w:t>
      </w:r>
      <w:r w:rsidRPr="7DF58A1D" w:rsidR="00106CC7">
        <w:rPr>
          <w:rFonts w:ascii="Arial" w:hAnsi="Arial" w:eastAsia="Times New Roman" w:cs="Times New Roman"/>
          <w:lang w:val="en-GB" w:bidi="en-US"/>
        </w:rPr>
        <w:t xml:space="preserve"> </w:t>
      </w:r>
      <w:r w:rsidRPr="7DF58A1D">
        <w:rPr>
          <w:rFonts w:ascii="Arial" w:hAnsi="Arial" w:eastAsia="Times New Roman" w:cs="Times New Roman"/>
          <w:lang w:val="en-GB" w:bidi="en-US"/>
        </w:rPr>
        <w:t xml:space="preserve">to </w:t>
      </w:r>
      <w:r w:rsidRPr="7DF58A1D" w:rsidR="00555D42">
        <w:rPr>
          <w:rFonts w:ascii="Arial" w:hAnsi="Arial" w:eastAsia="Times New Roman" w:cs="Times New Roman"/>
          <w:lang w:val="en-GB" w:bidi="en-US"/>
        </w:rPr>
        <w:t xml:space="preserve">amend the Australia New Zealand Food Standards Code to </w:t>
      </w:r>
      <w:r w:rsidRPr="7DF58A1D">
        <w:rPr>
          <w:rFonts w:ascii="Arial" w:hAnsi="Arial" w:eastAsia="Times New Roman" w:cs="Times New Roman"/>
          <w:lang w:val="en-GB" w:bidi="en-US"/>
        </w:rPr>
        <w:t xml:space="preserve">permit </w:t>
      </w:r>
      <w:r w:rsidRPr="7DF58A1D" w:rsidR="00555D42">
        <w:rPr>
          <w:rFonts w:ascii="Arial" w:hAnsi="Arial" w:eastAsia="Times New Roman" w:cs="Times New Roman"/>
          <w:lang w:val="en-GB" w:bidi="en-US"/>
        </w:rPr>
        <w:t xml:space="preserve">the use of the enzyme </w:t>
      </w:r>
      <w:r w:rsidRPr="7DF58A1D">
        <w:rPr>
          <w:rFonts w:ascii="Arial" w:hAnsi="Arial" w:eastAsia="Times New Roman" w:cs="Times New Roman"/>
          <w:lang w:val="en-GB" w:bidi="en-US"/>
        </w:rPr>
        <w:t xml:space="preserve">thermomycolin (EC 3.4.21.65), a serine endopeptidase (protease), sourced from a genetically modified (GM) strain of </w:t>
      </w:r>
      <w:r w:rsidRPr="7DF58A1D">
        <w:rPr>
          <w:rFonts w:ascii="Arial" w:hAnsi="Arial" w:eastAsia="Times New Roman" w:cs="Times New Roman"/>
          <w:i/>
          <w:iCs/>
          <w:lang w:val="en-GB" w:bidi="en-US"/>
        </w:rPr>
        <w:t>Trichoderma reesei</w:t>
      </w:r>
      <w:r w:rsidRPr="7DF58A1D">
        <w:rPr>
          <w:rFonts w:ascii="Arial" w:hAnsi="Arial" w:eastAsia="Times New Roman" w:cs="Times New Roman"/>
          <w:lang w:val="en-GB" w:bidi="en-US"/>
        </w:rPr>
        <w:t xml:space="preserve"> containing the thermomycolin gene from </w:t>
      </w:r>
      <w:r w:rsidRPr="7DF58A1D">
        <w:rPr>
          <w:rFonts w:ascii="Arial" w:hAnsi="Arial" w:eastAsia="Times New Roman" w:cs="Times New Roman"/>
          <w:i/>
          <w:iCs/>
          <w:lang w:val="en-GB" w:bidi="en-US"/>
        </w:rPr>
        <w:t>Malbranchea cinnamomea</w:t>
      </w:r>
      <w:r w:rsidRPr="7DF58A1D" w:rsidR="00555D42">
        <w:rPr>
          <w:rFonts w:ascii="Arial" w:hAnsi="Arial" w:eastAsia="Times New Roman" w:cs="Times New Roman"/>
          <w:lang w:val="en-GB" w:bidi="en-US"/>
        </w:rPr>
        <w:t xml:space="preserve"> as a processing aid</w:t>
      </w:r>
      <w:r w:rsidRPr="7DF58A1D">
        <w:rPr>
          <w:rFonts w:ascii="Arial" w:hAnsi="Arial" w:eastAsia="Times New Roman" w:cs="Times New Roman"/>
          <w:lang w:val="en-GB" w:bidi="en-US"/>
        </w:rPr>
        <w:t xml:space="preserve">. The enzyme will be used as a processing aid </w:t>
      </w:r>
      <w:r w:rsidRPr="7DF58A1D" w:rsidR="006E74D4">
        <w:rPr>
          <w:rFonts w:ascii="Arial" w:hAnsi="Arial" w:eastAsia="Times New Roman" w:cs="Times New Roman"/>
          <w:lang w:val="en-AU" w:bidi="en-US"/>
        </w:rPr>
        <w:t xml:space="preserve">to catalyse the </w:t>
      </w:r>
      <w:r w:rsidRPr="7DF58A1D" w:rsidR="00AE2B13">
        <w:rPr>
          <w:rFonts w:ascii="Arial" w:hAnsi="Arial" w:eastAsia="Times New Roman" w:cs="Times New Roman"/>
          <w:lang w:val="en-AU" w:bidi="en-US"/>
        </w:rPr>
        <w:t xml:space="preserve">hydrolysis of peptide bonds </w:t>
      </w:r>
      <w:r w:rsidRPr="7DF58A1D" w:rsidR="006E74D4">
        <w:rPr>
          <w:rFonts w:ascii="Arial" w:hAnsi="Arial" w:eastAsia="Times New Roman" w:cs="Times New Roman"/>
          <w:lang w:val="en-AU" w:bidi="en-US"/>
        </w:rPr>
        <w:t xml:space="preserve">in </w:t>
      </w:r>
      <w:r w:rsidRPr="7DF58A1D" w:rsidR="006E74D4">
        <w:rPr>
          <w:rFonts w:ascii="Arial" w:hAnsi="Arial" w:eastAsia="Times New Roman" w:cs="Times New Roman"/>
          <w:lang w:bidi="en-US"/>
        </w:rPr>
        <w:t>the manufacture and/or processing of meat, vegetable and seafood products.</w:t>
      </w:r>
    </w:p>
    <w:p w:rsidRPr="00E26D23" w:rsidR="00E26D23" w:rsidP="00E26D23" w:rsidRDefault="00E26D23" w14:paraId="3BCFE902" w14:textId="77777777">
      <w:pPr>
        <w:widowControl w:val="0"/>
        <w:spacing w:after="0" w:line="240" w:lineRule="auto"/>
        <w:rPr>
          <w:rFonts w:ascii="Arial" w:hAnsi="Arial" w:eastAsia="Times New Roman" w:cs="Times New Roman"/>
          <w:szCs w:val="24"/>
          <w:lang w:val="en-GB" w:bidi="en-US"/>
        </w:rPr>
      </w:pPr>
    </w:p>
    <w:p w:rsidRPr="00E26D23" w:rsidR="00E26D23" w:rsidP="5D9D31D2" w:rsidRDefault="00E26D23" w14:paraId="322AB3AA" w14:textId="2974E1A5">
      <w:pPr>
        <w:widowControl w:val="0"/>
        <w:spacing w:after="0" w:line="240" w:lineRule="auto"/>
        <w:rPr>
          <w:rFonts w:ascii="Arial" w:hAnsi="Arial" w:eastAsia="Times New Roman" w:cs="Times New Roman"/>
          <w:lang w:val="en-GB" w:bidi="en-US"/>
        </w:rPr>
      </w:pPr>
      <w:r w:rsidRPr="5D9D31D2">
        <w:rPr>
          <w:rFonts w:ascii="Arial" w:hAnsi="Arial" w:eastAsia="Times New Roman" w:cs="Times New Roman"/>
          <w:lang w:val="en-GB" w:bidi="en-US"/>
        </w:rPr>
        <w:t xml:space="preserve">On 27 April, FSANZ sought submissions on a draft variation and published an associated report. FSANZ received </w:t>
      </w:r>
      <w:r w:rsidRPr="008A075F">
        <w:rPr>
          <w:rFonts w:ascii="Arial" w:hAnsi="Arial" w:eastAsia="Times New Roman" w:cs="Times New Roman"/>
          <w:lang w:val="en-GB" w:bidi="en-US"/>
        </w:rPr>
        <w:t>two</w:t>
      </w:r>
      <w:r w:rsidRPr="5D9D31D2">
        <w:rPr>
          <w:rFonts w:ascii="Arial" w:hAnsi="Arial" w:eastAsia="Times New Roman" w:cs="Times New Roman"/>
          <w:lang w:val="en-GB" w:bidi="en-US"/>
        </w:rPr>
        <w:t xml:space="preserve"> submissions.</w:t>
      </w:r>
    </w:p>
    <w:p w:rsidRPr="00E26D23" w:rsidR="00E26D23" w:rsidP="00E26D23" w:rsidRDefault="00E26D23" w14:paraId="2B3B549B" w14:textId="77777777">
      <w:pPr>
        <w:widowControl w:val="0"/>
        <w:spacing w:after="0" w:line="240" w:lineRule="auto"/>
        <w:rPr>
          <w:rFonts w:ascii="Arial" w:hAnsi="Arial" w:eastAsia="Times New Roman" w:cs="Times New Roman"/>
          <w:szCs w:val="24"/>
          <w:lang w:val="en-GB" w:bidi="en-US"/>
        </w:rPr>
      </w:pPr>
    </w:p>
    <w:p w:rsidRPr="0003486E" w:rsidR="00E26D23" w:rsidP="00E26D23" w:rsidRDefault="00E26D23" w14:paraId="1E297B9A" w14:textId="7344ACD6">
      <w:pPr>
        <w:widowControl w:val="0"/>
        <w:spacing w:after="0" w:line="240" w:lineRule="auto"/>
        <w:rPr>
          <w:rFonts w:ascii="Arial" w:hAnsi="Arial" w:eastAsia="Times New Roman" w:cs="Times New Roman"/>
          <w:szCs w:val="24"/>
          <w:lang w:val="en-GB" w:bidi="en-US"/>
        </w:rPr>
      </w:pPr>
      <w:r w:rsidRPr="00E26D23">
        <w:rPr>
          <w:rFonts w:ascii="Arial" w:hAnsi="Arial" w:eastAsia="Times New Roman" w:cs="Times New Roman"/>
          <w:szCs w:val="24"/>
          <w:lang w:val="en-GB" w:bidi="en-US"/>
        </w:rPr>
        <w:t xml:space="preserve">FSANZ approved the draft variation </w:t>
      </w:r>
      <w:r w:rsidRPr="008E0D89">
        <w:rPr>
          <w:rFonts w:ascii="Arial" w:hAnsi="Arial" w:eastAsia="Times New Roman" w:cs="Times New Roman"/>
          <w:szCs w:val="24"/>
          <w:lang w:val="en-GB" w:bidi="en-US"/>
        </w:rPr>
        <w:t>on 3 August 2022</w:t>
      </w:r>
      <w:r w:rsidRPr="00E26D23">
        <w:rPr>
          <w:rFonts w:ascii="Arial" w:hAnsi="Arial" w:eastAsia="Times New Roman" w:cs="Times New Roman"/>
          <w:szCs w:val="24"/>
          <w:lang w:val="en-GB" w:bidi="en-US"/>
        </w:rPr>
        <w:t xml:space="preserve">. The </w:t>
      </w:r>
      <w:r w:rsidRPr="00E26D23">
        <w:rPr>
          <w:rFonts w:ascii="Arial" w:hAnsi="Arial" w:eastAsia="Times New Roman" w:cs="Helvetica"/>
          <w:szCs w:val="24"/>
          <w:lang w:val="en-AU" w:bidi="en-US"/>
        </w:rPr>
        <w:t>Food Ministers’ Meeting was</w:t>
      </w:r>
      <w:r w:rsidRPr="00E26D23">
        <w:rPr>
          <w:rFonts w:ascii="Arial" w:hAnsi="Arial" w:eastAsia="Times New Roman" w:cs="Times New Roman"/>
          <w:szCs w:val="24"/>
          <w:lang w:val="en-GB" w:bidi="en-US"/>
        </w:rPr>
        <w:t xml:space="preserve"> notified of FSANZ’s decision on </w:t>
      </w:r>
      <w:r w:rsidRPr="0003486E" w:rsidR="006169F6">
        <w:rPr>
          <w:rFonts w:ascii="Arial" w:hAnsi="Arial" w:eastAsia="Times New Roman" w:cs="Times New Roman"/>
          <w:szCs w:val="24"/>
          <w:lang w:val="en-GB" w:bidi="en-US"/>
        </w:rPr>
        <w:t>15 August 2022</w:t>
      </w:r>
      <w:r w:rsidRPr="0003486E">
        <w:rPr>
          <w:rFonts w:ascii="Arial" w:hAnsi="Arial" w:eastAsia="Times New Roman" w:cs="Times New Roman"/>
          <w:szCs w:val="24"/>
          <w:lang w:val="en-GB" w:bidi="en-US"/>
        </w:rPr>
        <w:t>.</w:t>
      </w:r>
    </w:p>
    <w:p w:rsidRPr="0003486E" w:rsidR="00E26D23" w:rsidP="00E26D23" w:rsidRDefault="00E26D23" w14:paraId="38778CC0" w14:textId="77777777">
      <w:pPr>
        <w:widowControl w:val="0"/>
        <w:spacing w:after="0" w:line="240" w:lineRule="auto"/>
        <w:rPr>
          <w:rFonts w:ascii="Arial" w:hAnsi="Arial" w:eastAsia="Times New Roman" w:cs="Times New Roman"/>
          <w:szCs w:val="24"/>
          <w:lang w:val="en-GB" w:bidi="en-US"/>
        </w:rPr>
      </w:pPr>
    </w:p>
    <w:p w:rsidRPr="00E26D23" w:rsidR="00E26D23" w:rsidP="00E26D23" w:rsidRDefault="00E26D23" w14:paraId="5D5F785E" w14:textId="29C5C762">
      <w:pPr>
        <w:widowControl w:val="0"/>
        <w:spacing w:after="0" w:line="240" w:lineRule="auto"/>
        <w:rPr>
          <w:rFonts w:ascii="Arial" w:hAnsi="Arial" w:eastAsia="Times New Roman" w:cs="Times New Roman"/>
          <w:szCs w:val="24"/>
          <w:lang w:val="en-GB" w:bidi="en-US"/>
        </w:rPr>
      </w:pPr>
      <w:r w:rsidRPr="00E26D23">
        <w:rPr>
          <w:rFonts w:ascii="Arial" w:hAnsi="Arial" w:eastAsia="Times New Roman" w:cs="Times New Roman"/>
          <w:szCs w:val="24"/>
          <w:lang w:val="en-GB" w:bidi="en-US"/>
        </w:rPr>
        <w:t xml:space="preserve">This Report is provided pursuant to paragraph 33(1)(b) of the </w:t>
      </w:r>
      <w:r w:rsidRPr="00E26D23">
        <w:rPr>
          <w:rFonts w:ascii="Arial" w:hAnsi="Arial" w:eastAsia="Times New Roman" w:cs="Times New Roman"/>
          <w:i/>
          <w:szCs w:val="24"/>
          <w:lang w:val="en-GB" w:bidi="en-US"/>
        </w:rPr>
        <w:t>Food Standards Australia New Zealand Act 1991</w:t>
      </w:r>
      <w:r w:rsidRPr="00E26D23">
        <w:rPr>
          <w:rFonts w:ascii="Arial" w:hAnsi="Arial" w:eastAsia="Times New Roman" w:cs="Times New Roman"/>
          <w:szCs w:val="24"/>
          <w:lang w:val="en-GB" w:bidi="en-US"/>
        </w:rPr>
        <w:t xml:space="preserve"> (the FSANZ Act).</w:t>
      </w:r>
    </w:p>
    <w:p w:rsidRPr="00E26D23" w:rsidR="00E26D23" w:rsidP="00E26D23" w:rsidRDefault="00E26D23" w14:paraId="32998717" w14:textId="77777777">
      <w:pPr>
        <w:widowControl w:val="0"/>
        <w:spacing w:after="0" w:line="240" w:lineRule="auto"/>
        <w:rPr>
          <w:rFonts w:ascii="Arial" w:hAnsi="Arial" w:eastAsia="Times New Roman" w:cs="Times New Roman"/>
          <w:szCs w:val="24"/>
          <w:lang w:val="en-GB" w:bidi="en-US"/>
        </w:rPr>
      </w:pPr>
    </w:p>
    <w:p w:rsidRPr="00E26D23" w:rsidR="00E26D23" w:rsidP="00E26D23" w:rsidRDefault="00E26D23" w14:paraId="46E04822" w14:textId="77777777">
      <w:pPr>
        <w:widowControl w:val="0"/>
        <w:spacing w:after="0" w:line="240" w:lineRule="auto"/>
        <w:rPr>
          <w:rFonts w:ascii="Arial" w:hAnsi="Arial" w:eastAsia="Times New Roman" w:cs="Times New Roman"/>
          <w:szCs w:val="24"/>
          <w:lang w:val="en-GB" w:bidi="en-US"/>
        </w:rPr>
      </w:pPr>
    </w:p>
    <w:p w:rsidRPr="00E26D23" w:rsidR="00E26D23" w:rsidP="00E26D23" w:rsidRDefault="00E26D23" w14:paraId="253C24D5" w14:textId="77777777">
      <w:pPr>
        <w:widowControl w:val="0"/>
        <w:spacing w:after="0" w:line="240" w:lineRule="auto"/>
        <w:rPr>
          <w:rFonts w:ascii="Arial" w:hAnsi="Arial" w:eastAsia="Times New Roman" w:cs="Times New Roman"/>
          <w:szCs w:val="24"/>
          <w:lang w:val="en-GB" w:bidi="en-US"/>
        </w:rPr>
        <w:sectPr w:rsidRPr="00E26D23" w:rsidR="00E26D23" w:rsidSect="00E26D23">
          <w:footerReference w:type="even" r:id="rId14"/>
          <w:footerReference w:type="default" r:id="rId15"/>
          <w:headerReference w:type="first" r:id="rId16"/>
          <w:pgSz w:w="11906" w:h="16838" w:code="9"/>
          <w:pgMar w:top="1418" w:right="1418" w:bottom="1418" w:left="1418" w:header="709" w:footer="709" w:gutter="0"/>
          <w:pgNumType w:fmt="lowerRoman" w:start="1"/>
          <w:cols w:space="708"/>
          <w:docGrid w:linePitch="360"/>
        </w:sectPr>
      </w:pPr>
    </w:p>
    <w:p w:rsidRPr="00E26D23" w:rsidR="00E26D23" w:rsidP="00E26D23" w:rsidRDefault="00E26D23" w14:paraId="0F5DC91D" w14:textId="77777777">
      <w:pPr>
        <w:widowControl w:val="0"/>
        <w:spacing w:after="0" w:line="240" w:lineRule="auto"/>
        <w:jc w:val="center"/>
        <w:rPr>
          <w:rFonts w:ascii="Arial" w:hAnsi="Arial" w:eastAsia="Times New Roman" w:cs="Times New Roman"/>
          <w:sz w:val="28"/>
          <w:szCs w:val="28"/>
          <w:lang w:val="en-GB" w:bidi="en-US"/>
        </w:rPr>
      </w:pPr>
      <w:r w:rsidRPr="7DF58A1D">
        <w:rPr>
          <w:rFonts w:ascii="Arial" w:hAnsi="Arial" w:eastAsia="Times New Roman" w:cs="Times New Roman"/>
          <w:sz w:val="28"/>
          <w:szCs w:val="28"/>
          <w:lang w:val="en-GB" w:bidi="en-US"/>
        </w:rPr>
        <w:lastRenderedPageBreak/>
        <w:t>Table of contents</w:t>
      </w:r>
    </w:p>
    <w:p w:rsidRPr="00E26D23" w:rsidR="00E26D23" w:rsidP="00E26D23" w:rsidRDefault="00E26D23" w14:paraId="1BF906D3" w14:textId="77777777">
      <w:pPr>
        <w:widowControl w:val="0"/>
        <w:spacing w:after="0" w:line="240" w:lineRule="auto"/>
        <w:rPr>
          <w:rFonts w:ascii="Arial" w:hAnsi="Arial" w:eastAsia="Times New Roman" w:cs="Arial"/>
          <w:sz w:val="20"/>
          <w:szCs w:val="20"/>
          <w:lang w:val="en-GB" w:bidi="en-US"/>
        </w:rPr>
      </w:pPr>
    </w:p>
    <w:p w:rsidR="00FA2EE1" w:rsidRDefault="00E26D23" w14:paraId="2569C30E" w14:textId="12B3410D">
      <w:pPr>
        <w:pStyle w:val="TOC1"/>
        <w:tabs>
          <w:tab w:val="right" w:leader="dot" w:pos="9060"/>
        </w:tabs>
        <w:rPr>
          <w:rFonts w:eastAsiaTheme="minorEastAsia"/>
          <w:noProof/>
          <w:lang w:val="en-GB" w:eastAsia="en-GB"/>
        </w:rPr>
      </w:pPr>
      <w:r w:rsidRPr="00E26D23">
        <w:rPr>
          <w:rFonts w:eastAsia="Times New Roman"/>
          <w:smallCaps/>
          <w:color w:val="2B579A"/>
          <w:sz w:val="20"/>
          <w:szCs w:val="20"/>
          <w:shd w:val="clear" w:color="auto" w:fill="E6E6E6"/>
          <w:lang w:val="en-GB" w:bidi="en-US"/>
        </w:rPr>
        <w:fldChar w:fldCharType="begin"/>
      </w:r>
      <w:r w:rsidRPr="00E26D23">
        <w:rPr>
          <w:rFonts w:eastAsia="Times New Roman"/>
          <w:b/>
          <w:bCs/>
          <w:caps/>
          <w:sz w:val="20"/>
          <w:szCs w:val="20"/>
          <w:lang w:val="en-GB" w:bidi="en-US"/>
        </w:rPr>
        <w:instrText xml:space="preserve"> TOC \h \z \t "Heading 1,1,Heading 2,2,Heading 3,3" </w:instrText>
      </w:r>
      <w:r w:rsidRPr="00E26D23">
        <w:rPr>
          <w:rFonts w:eastAsia="Times New Roman"/>
          <w:smallCaps/>
          <w:color w:val="2B579A"/>
          <w:sz w:val="20"/>
          <w:szCs w:val="20"/>
          <w:shd w:val="clear" w:color="auto" w:fill="E6E6E6"/>
          <w:lang w:val="en-GB" w:bidi="en-US"/>
        </w:rPr>
        <w:fldChar w:fldCharType="separate"/>
      </w:r>
      <w:hyperlink w:history="1" w:anchor="_Toc110434579">
        <w:r w:rsidRPr="008C20B6" w:rsidR="00FA2EE1">
          <w:rPr>
            <w:rStyle w:val="Hyperlink"/>
            <w:rFonts w:ascii="Arial" w:hAnsi="Arial" w:eastAsia="Times New Roman" w:cs="Times New Roman"/>
            <w:b/>
            <w:bCs/>
            <w:noProof/>
            <w:lang w:val="en-GB"/>
          </w:rPr>
          <w:t>Executive summary</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_Toc110434579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2</w:t>
        </w:r>
        <w:r w:rsidR="00FA2EE1">
          <w:rPr>
            <w:noProof/>
            <w:webHidden/>
            <w:color w:val="2B579A"/>
            <w:shd w:val="clear" w:color="auto" w:fill="E6E6E6"/>
          </w:rPr>
          <w:fldChar w:fldCharType="end"/>
        </w:r>
      </w:hyperlink>
    </w:p>
    <w:p w:rsidR="00FA2EE1" w:rsidRDefault="009D06E0" w14:paraId="656CB94A" w14:textId="47245CFC">
      <w:pPr>
        <w:pStyle w:val="TOC1"/>
        <w:tabs>
          <w:tab w:val="left" w:pos="709"/>
          <w:tab w:val="right" w:leader="dot" w:pos="9060"/>
        </w:tabs>
        <w:rPr>
          <w:rFonts w:eastAsiaTheme="minorEastAsia"/>
          <w:noProof/>
          <w:lang w:val="en-GB" w:eastAsia="en-GB"/>
        </w:rPr>
      </w:pPr>
      <w:hyperlink w:history="1" w:anchor="_Toc110434580">
        <w:r w:rsidRPr="008C20B6" w:rsidR="00FA2EE1">
          <w:rPr>
            <w:rStyle w:val="Hyperlink"/>
            <w:rFonts w:ascii="Arial" w:hAnsi="Arial" w:eastAsia="Times New Roman" w:cs="Times New Roman"/>
            <w:b/>
            <w:bCs/>
            <w:noProof/>
            <w:lang w:val="en-GB"/>
          </w:rPr>
          <w:t>1</w:t>
        </w:r>
        <w:r w:rsidR="00FA2EE1">
          <w:rPr>
            <w:rFonts w:eastAsiaTheme="minorEastAsia"/>
            <w:noProof/>
            <w:lang w:val="en-GB" w:eastAsia="en-GB"/>
          </w:rPr>
          <w:tab/>
        </w:r>
        <w:r w:rsidRPr="008C20B6" w:rsidR="00FA2EE1">
          <w:rPr>
            <w:rStyle w:val="Hyperlink"/>
            <w:rFonts w:ascii="Arial" w:hAnsi="Arial" w:eastAsia="Times New Roman" w:cs="Times New Roman"/>
            <w:b/>
            <w:bCs/>
            <w:noProof/>
            <w:lang w:val="en-GB"/>
          </w:rPr>
          <w:t>Introduction</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_Toc110434580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3</w:t>
        </w:r>
        <w:r w:rsidR="00FA2EE1">
          <w:rPr>
            <w:noProof/>
            <w:webHidden/>
            <w:color w:val="2B579A"/>
            <w:shd w:val="clear" w:color="auto" w:fill="E6E6E6"/>
          </w:rPr>
          <w:fldChar w:fldCharType="end"/>
        </w:r>
      </w:hyperlink>
    </w:p>
    <w:p w:rsidR="00FA2EE1" w:rsidRDefault="009D06E0" w14:paraId="170D377C" w14:textId="4D9C368C">
      <w:pPr>
        <w:pStyle w:val="TOC3"/>
        <w:rPr>
          <w:rFonts w:eastAsiaTheme="minorEastAsia"/>
          <w:noProof/>
          <w:lang w:val="en-GB" w:eastAsia="en-GB"/>
        </w:rPr>
      </w:pPr>
      <w:hyperlink w:history="1" w:anchor="_Toc110434581">
        <w:r w:rsidRPr="008C20B6" w:rsidR="00FA2EE1">
          <w:rPr>
            <w:rStyle w:val="Hyperlink"/>
            <w:rFonts w:eastAsiaTheme="majorEastAsia"/>
            <w:noProof/>
          </w:rPr>
          <w:t>1.1</w:t>
        </w:r>
        <w:r w:rsidR="00FA2EE1">
          <w:rPr>
            <w:rFonts w:eastAsiaTheme="minorEastAsia"/>
            <w:noProof/>
            <w:lang w:val="en-GB" w:eastAsia="en-GB"/>
          </w:rPr>
          <w:tab/>
        </w:r>
        <w:r w:rsidRPr="008C20B6" w:rsidR="00FA2EE1">
          <w:rPr>
            <w:rStyle w:val="Hyperlink"/>
            <w:rFonts w:eastAsiaTheme="majorEastAsia"/>
            <w:noProof/>
          </w:rPr>
          <w:t>The Applicant</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_Toc110434581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3</w:t>
        </w:r>
        <w:r w:rsidR="00FA2EE1">
          <w:rPr>
            <w:noProof/>
            <w:webHidden/>
            <w:color w:val="2B579A"/>
            <w:shd w:val="clear" w:color="auto" w:fill="E6E6E6"/>
          </w:rPr>
          <w:fldChar w:fldCharType="end"/>
        </w:r>
      </w:hyperlink>
    </w:p>
    <w:p w:rsidR="00FA2EE1" w:rsidRDefault="009D06E0" w14:paraId="71163D3A" w14:textId="510365B7">
      <w:pPr>
        <w:pStyle w:val="TOC3"/>
        <w:rPr>
          <w:rFonts w:eastAsiaTheme="minorEastAsia"/>
          <w:noProof/>
          <w:lang w:val="en-GB" w:eastAsia="en-GB"/>
        </w:rPr>
      </w:pPr>
      <w:hyperlink w:history="1" w:anchor="_Toc110434582">
        <w:r w:rsidRPr="008C20B6" w:rsidR="00FA2EE1">
          <w:rPr>
            <w:rStyle w:val="Hyperlink"/>
            <w:rFonts w:eastAsiaTheme="majorEastAsia"/>
            <w:noProof/>
          </w:rPr>
          <w:t>1.2</w:t>
        </w:r>
        <w:r w:rsidR="00FA2EE1">
          <w:rPr>
            <w:rFonts w:eastAsiaTheme="minorEastAsia"/>
            <w:noProof/>
            <w:lang w:val="en-GB" w:eastAsia="en-GB"/>
          </w:rPr>
          <w:tab/>
        </w:r>
        <w:r w:rsidRPr="008C20B6" w:rsidR="00FA2EE1">
          <w:rPr>
            <w:rStyle w:val="Hyperlink"/>
            <w:rFonts w:eastAsiaTheme="majorEastAsia"/>
            <w:noProof/>
          </w:rPr>
          <w:t>The Application</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_Toc110434582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3</w:t>
        </w:r>
        <w:r w:rsidR="00FA2EE1">
          <w:rPr>
            <w:noProof/>
            <w:webHidden/>
            <w:color w:val="2B579A"/>
            <w:shd w:val="clear" w:color="auto" w:fill="E6E6E6"/>
          </w:rPr>
          <w:fldChar w:fldCharType="end"/>
        </w:r>
      </w:hyperlink>
    </w:p>
    <w:p w:rsidR="00FA2EE1" w:rsidRDefault="009D06E0" w14:paraId="7D37C836" w14:textId="56F21DF8">
      <w:pPr>
        <w:pStyle w:val="TOC3"/>
        <w:rPr>
          <w:rFonts w:eastAsiaTheme="minorEastAsia"/>
          <w:noProof/>
          <w:lang w:val="en-GB" w:eastAsia="en-GB"/>
        </w:rPr>
      </w:pPr>
      <w:hyperlink w:history="1" w:anchor="_Toc110434583">
        <w:r w:rsidRPr="008C20B6" w:rsidR="00FA2EE1">
          <w:rPr>
            <w:rStyle w:val="Hyperlink"/>
            <w:rFonts w:eastAsiaTheme="majorEastAsia"/>
            <w:noProof/>
          </w:rPr>
          <w:t>1.3</w:t>
        </w:r>
        <w:r w:rsidR="00FA2EE1">
          <w:rPr>
            <w:rFonts w:eastAsiaTheme="minorEastAsia"/>
            <w:noProof/>
            <w:lang w:val="en-GB" w:eastAsia="en-GB"/>
          </w:rPr>
          <w:tab/>
        </w:r>
        <w:r w:rsidRPr="008C20B6" w:rsidR="00FA2EE1">
          <w:rPr>
            <w:rStyle w:val="Hyperlink"/>
            <w:rFonts w:eastAsiaTheme="majorEastAsia"/>
            <w:noProof/>
          </w:rPr>
          <w:t>The current Standard</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_Toc110434583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3</w:t>
        </w:r>
        <w:r w:rsidR="00FA2EE1">
          <w:rPr>
            <w:noProof/>
            <w:webHidden/>
            <w:color w:val="2B579A"/>
            <w:shd w:val="clear" w:color="auto" w:fill="E6E6E6"/>
          </w:rPr>
          <w:fldChar w:fldCharType="end"/>
        </w:r>
      </w:hyperlink>
    </w:p>
    <w:p w:rsidR="00FA2EE1" w:rsidRDefault="009D06E0" w14:paraId="6008C06B" w14:textId="496DE00F">
      <w:pPr>
        <w:pStyle w:val="TOC3"/>
        <w:rPr>
          <w:rFonts w:eastAsiaTheme="minorEastAsia"/>
          <w:noProof/>
          <w:lang w:val="en-GB" w:eastAsia="en-GB"/>
        </w:rPr>
      </w:pPr>
      <w:hyperlink w:history="1" w:anchor="_Toc110434584">
        <w:r w:rsidRPr="008C20B6" w:rsidR="00FA2EE1">
          <w:rPr>
            <w:rStyle w:val="Hyperlink"/>
            <w:rFonts w:eastAsiaTheme="majorEastAsia"/>
            <w:i/>
            <w:noProof/>
          </w:rPr>
          <w:t>1.3.1</w:t>
        </w:r>
        <w:r w:rsidR="00FA2EE1">
          <w:rPr>
            <w:rFonts w:eastAsiaTheme="minorEastAsia"/>
            <w:noProof/>
            <w:lang w:val="en-GB" w:eastAsia="en-GB"/>
          </w:rPr>
          <w:tab/>
        </w:r>
        <w:r w:rsidRPr="008C20B6" w:rsidR="00FA2EE1">
          <w:rPr>
            <w:rStyle w:val="Hyperlink"/>
            <w:rFonts w:eastAsiaTheme="majorEastAsia"/>
            <w:i/>
            <w:noProof/>
          </w:rPr>
          <w:t>Permitted use</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_Toc110434584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3</w:t>
        </w:r>
        <w:r w:rsidR="00FA2EE1">
          <w:rPr>
            <w:noProof/>
            <w:webHidden/>
            <w:color w:val="2B579A"/>
            <w:shd w:val="clear" w:color="auto" w:fill="E6E6E6"/>
          </w:rPr>
          <w:fldChar w:fldCharType="end"/>
        </w:r>
      </w:hyperlink>
    </w:p>
    <w:p w:rsidR="00FA2EE1" w:rsidRDefault="009D06E0" w14:paraId="4ACAAC00" w14:textId="15E21A5D">
      <w:pPr>
        <w:pStyle w:val="TOC3"/>
        <w:rPr>
          <w:rFonts w:eastAsiaTheme="minorEastAsia"/>
          <w:noProof/>
          <w:lang w:val="en-GB" w:eastAsia="en-GB"/>
        </w:rPr>
      </w:pPr>
      <w:hyperlink w:history="1" w:anchor="_Toc110434585">
        <w:r w:rsidRPr="008C20B6" w:rsidR="00FA2EE1">
          <w:rPr>
            <w:rStyle w:val="Hyperlink"/>
            <w:rFonts w:eastAsiaTheme="majorEastAsia"/>
            <w:i/>
            <w:noProof/>
          </w:rPr>
          <w:t>1.3.2</w:t>
        </w:r>
        <w:r w:rsidR="00FA2EE1">
          <w:rPr>
            <w:rFonts w:eastAsiaTheme="minorEastAsia"/>
            <w:noProof/>
            <w:lang w:val="en-GB" w:eastAsia="en-GB"/>
          </w:rPr>
          <w:tab/>
        </w:r>
        <w:r w:rsidRPr="008C20B6" w:rsidR="00FA2EE1">
          <w:rPr>
            <w:rStyle w:val="Hyperlink"/>
            <w:rFonts w:eastAsiaTheme="majorEastAsia"/>
            <w:i/>
            <w:noProof/>
          </w:rPr>
          <w:t>Identity and purity requirements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_Toc110434585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4</w:t>
        </w:r>
        <w:r w:rsidR="00FA2EE1">
          <w:rPr>
            <w:noProof/>
            <w:webHidden/>
            <w:color w:val="2B579A"/>
            <w:shd w:val="clear" w:color="auto" w:fill="E6E6E6"/>
          </w:rPr>
          <w:fldChar w:fldCharType="end"/>
        </w:r>
      </w:hyperlink>
    </w:p>
    <w:p w:rsidR="00FA2EE1" w:rsidRDefault="009D06E0" w14:paraId="5C3561C0" w14:textId="2D397E80">
      <w:pPr>
        <w:pStyle w:val="TOC3"/>
        <w:rPr>
          <w:rFonts w:eastAsiaTheme="minorEastAsia"/>
          <w:noProof/>
          <w:lang w:val="en-GB" w:eastAsia="en-GB"/>
        </w:rPr>
      </w:pPr>
      <w:hyperlink w:history="1" w:anchor="_Toc110434586">
        <w:r w:rsidRPr="008C20B6" w:rsidR="00FA2EE1">
          <w:rPr>
            <w:rStyle w:val="Hyperlink"/>
            <w:rFonts w:eastAsiaTheme="majorEastAsia"/>
            <w:i/>
            <w:noProof/>
          </w:rPr>
          <w:t>1.3.3</w:t>
        </w:r>
        <w:r w:rsidR="00FA2EE1">
          <w:rPr>
            <w:rFonts w:eastAsiaTheme="minorEastAsia"/>
            <w:noProof/>
            <w:lang w:val="en-GB" w:eastAsia="en-GB"/>
          </w:rPr>
          <w:tab/>
        </w:r>
        <w:r w:rsidRPr="008C20B6" w:rsidR="00FA2EE1">
          <w:rPr>
            <w:rStyle w:val="Hyperlink"/>
            <w:rFonts w:eastAsiaTheme="majorEastAsia"/>
            <w:i/>
            <w:noProof/>
          </w:rPr>
          <w:t>Labelling requirements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_Toc110434586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4</w:t>
        </w:r>
        <w:r w:rsidR="00FA2EE1">
          <w:rPr>
            <w:noProof/>
            <w:webHidden/>
            <w:color w:val="2B579A"/>
            <w:shd w:val="clear" w:color="auto" w:fill="E6E6E6"/>
          </w:rPr>
          <w:fldChar w:fldCharType="end"/>
        </w:r>
      </w:hyperlink>
    </w:p>
    <w:p w:rsidR="00FA2EE1" w:rsidRDefault="009D06E0" w14:paraId="06F3F638" w14:textId="22BF9EDA">
      <w:pPr>
        <w:pStyle w:val="TOC3"/>
        <w:rPr>
          <w:rFonts w:eastAsiaTheme="minorEastAsia"/>
          <w:noProof/>
          <w:lang w:val="en-GB" w:eastAsia="en-GB"/>
        </w:rPr>
      </w:pPr>
      <w:hyperlink w:history="1" w:anchor="_Toc110434587">
        <w:r w:rsidRPr="008C20B6" w:rsidR="00FA2EE1">
          <w:rPr>
            <w:rStyle w:val="Hyperlink"/>
            <w:rFonts w:eastAsiaTheme="majorEastAsia"/>
            <w:i/>
            <w:noProof/>
          </w:rPr>
          <w:t>1.3.4</w:t>
        </w:r>
        <w:r w:rsidR="00FA2EE1">
          <w:rPr>
            <w:rFonts w:eastAsiaTheme="minorEastAsia"/>
            <w:noProof/>
            <w:lang w:val="en-GB" w:eastAsia="en-GB"/>
          </w:rPr>
          <w:tab/>
        </w:r>
        <w:r w:rsidRPr="008C20B6" w:rsidR="00FA2EE1">
          <w:rPr>
            <w:rStyle w:val="Hyperlink"/>
            <w:rFonts w:eastAsiaTheme="majorEastAsia"/>
            <w:i/>
            <w:noProof/>
          </w:rPr>
          <w:t>International standards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_Toc110434587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5</w:t>
        </w:r>
        <w:r w:rsidR="00FA2EE1">
          <w:rPr>
            <w:noProof/>
            <w:webHidden/>
            <w:color w:val="2B579A"/>
            <w:shd w:val="clear" w:color="auto" w:fill="E6E6E6"/>
          </w:rPr>
          <w:fldChar w:fldCharType="end"/>
        </w:r>
      </w:hyperlink>
    </w:p>
    <w:p w:rsidR="00FA2EE1" w:rsidRDefault="009D06E0" w14:paraId="5839724C" w14:textId="37F8C2D8">
      <w:pPr>
        <w:pStyle w:val="TOC3"/>
        <w:rPr>
          <w:rFonts w:eastAsiaTheme="minorEastAsia"/>
          <w:noProof/>
          <w:lang w:val="en-GB" w:eastAsia="en-GB"/>
        </w:rPr>
      </w:pPr>
      <w:hyperlink w:history="1" w:anchor="_Toc110434588">
        <w:r w:rsidRPr="008C20B6" w:rsidR="00FA2EE1">
          <w:rPr>
            <w:rStyle w:val="Hyperlink"/>
            <w:rFonts w:eastAsiaTheme="majorEastAsia"/>
            <w:noProof/>
          </w:rPr>
          <w:t>1.4</w:t>
        </w:r>
        <w:r w:rsidR="00FA2EE1">
          <w:rPr>
            <w:rFonts w:eastAsiaTheme="minorEastAsia"/>
            <w:noProof/>
            <w:lang w:val="en-GB" w:eastAsia="en-GB"/>
          </w:rPr>
          <w:tab/>
        </w:r>
        <w:r w:rsidRPr="008C20B6" w:rsidR="00FA2EE1">
          <w:rPr>
            <w:rStyle w:val="Hyperlink"/>
            <w:rFonts w:eastAsiaTheme="majorEastAsia"/>
            <w:noProof/>
          </w:rPr>
          <w:t>Reasons for accepting Application</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_Toc110434588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5</w:t>
        </w:r>
        <w:r w:rsidR="00FA2EE1">
          <w:rPr>
            <w:noProof/>
            <w:webHidden/>
            <w:color w:val="2B579A"/>
            <w:shd w:val="clear" w:color="auto" w:fill="E6E6E6"/>
          </w:rPr>
          <w:fldChar w:fldCharType="end"/>
        </w:r>
      </w:hyperlink>
    </w:p>
    <w:p w:rsidR="00FA2EE1" w:rsidRDefault="009D06E0" w14:paraId="2EE2B10A" w14:textId="49865D6A">
      <w:pPr>
        <w:pStyle w:val="TOC3"/>
        <w:rPr>
          <w:rFonts w:eastAsiaTheme="minorEastAsia"/>
          <w:noProof/>
          <w:lang w:val="en-GB" w:eastAsia="en-GB"/>
        </w:rPr>
      </w:pPr>
      <w:hyperlink w:history="1" w:anchor="_Toc110434589">
        <w:r w:rsidRPr="008C20B6" w:rsidR="00FA2EE1">
          <w:rPr>
            <w:rStyle w:val="Hyperlink"/>
            <w:rFonts w:eastAsiaTheme="majorEastAsia"/>
            <w:noProof/>
          </w:rPr>
          <w:t>1.5</w:t>
        </w:r>
        <w:r w:rsidR="00FA2EE1">
          <w:rPr>
            <w:rFonts w:eastAsiaTheme="minorEastAsia"/>
            <w:noProof/>
            <w:lang w:val="en-GB" w:eastAsia="en-GB"/>
          </w:rPr>
          <w:tab/>
        </w:r>
        <w:r w:rsidRPr="008C20B6" w:rsidR="00FA2EE1">
          <w:rPr>
            <w:rStyle w:val="Hyperlink"/>
            <w:rFonts w:eastAsiaTheme="majorEastAsia"/>
            <w:noProof/>
          </w:rPr>
          <w:t>Procedure for assessment</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_Toc110434589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5</w:t>
        </w:r>
        <w:r w:rsidR="00FA2EE1">
          <w:rPr>
            <w:noProof/>
            <w:webHidden/>
            <w:color w:val="2B579A"/>
            <w:shd w:val="clear" w:color="auto" w:fill="E6E6E6"/>
          </w:rPr>
          <w:fldChar w:fldCharType="end"/>
        </w:r>
      </w:hyperlink>
    </w:p>
    <w:p w:rsidR="00FA2EE1" w:rsidRDefault="009D06E0" w14:paraId="49AEA7E5" w14:textId="140A5D13">
      <w:pPr>
        <w:pStyle w:val="TOC3"/>
        <w:rPr>
          <w:rFonts w:eastAsiaTheme="minorEastAsia"/>
          <w:noProof/>
          <w:lang w:val="en-GB" w:eastAsia="en-GB"/>
        </w:rPr>
      </w:pPr>
      <w:hyperlink w:history="1" w:anchor="_Toc110434590">
        <w:r w:rsidRPr="008C20B6" w:rsidR="00FA2EE1">
          <w:rPr>
            <w:rStyle w:val="Hyperlink"/>
            <w:rFonts w:eastAsiaTheme="majorEastAsia"/>
            <w:noProof/>
          </w:rPr>
          <w:t>1.6</w:t>
        </w:r>
        <w:r w:rsidR="00FA2EE1">
          <w:rPr>
            <w:rFonts w:eastAsiaTheme="minorEastAsia"/>
            <w:noProof/>
            <w:lang w:val="en-GB" w:eastAsia="en-GB"/>
          </w:rPr>
          <w:tab/>
        </w:r>
        <w:r w:rsidRPr="008C20B6" w:rsidR="00FA2EE1">
          <w:rPr>
            <w:rStyle w:val="Hyperlink"/>
            <w:rFonts w:eastAsiaTheme="majorEastAsia"/>
            <w:noProof/>
          </w:rPr>
          <w:t>Decision</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_Toc110434590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5</w:t>
        </w:r>
        <w:r w:rsidR="00FA2EE1">
          <w:rPr>
            <w:noProof/>
            <w:webHidden/>
            <w:color w:val="2B579A"/>
            <w:shd w:val="clear" w:color="auto" w:fill="E6E6E6"/>
          </w:rPr>
          <w:fldChar w:fldCharType="end"/>
        </w:r>
      </w:hyperlink>
    </w:p>
    <w:p w:rsidR="00FA2EE1" w:rsidRDefault="009D06E0" w14:paraId="4C6BDF2C" w14:textId="386E09D8">
      <w:pPr>
        <w:pStyle w:val="TOC1"/>
        <w:tabs>
          <w:tab w:val="left" w:pos="709"/>
          <w:tab w:val="right" w:leader="dot" w:pos="9060"/>
        </w:tabs>
        <w:rPr>
          <w:rFonts w:eastAsiaTheme="minorEastAsia"/>
          <w:noProof/>
          <w:lang w:val="en-GB" w:eastAsia="en-GB"/>
        </w:rPr>
      </w:pPr>
      <w:hyperlink w:history="1" w:anchor="_Toc110434591">
        <w:r w:rsidRPr="008C20B6" w:rsidR="00FA2EE1">
          <w:rPr>
            <w:rStyle w:val="Hyperlink"/>
            <w:rFonts w:ascii="Arial" w:hAnsi="Arial" w:eastAsia="Times New Roman" w:cs="Times New Roman"/>
            <w:b/>
            <w:bCs/>
            <w:noProof/>
            <w:lang w:val="en-GB"/>
          </w:rPr>
          <w:t>2</w:t>
        </w:r>
        <w:r w:rsidR="00FA2EE1">
          <w:rPr>
            <w:rFonts w:eastAsiaTheme="minorEastAsia"/>
            <w:noProof/>
            <w:lang w:val="en-GB" w:eastAsia="en-GB"/>
          </w:rPr>
          <w:tab/>
        </w:r>
        <w:r w:rsidRPr="008C20B6" w:rsidR="00FA2EE1">
          <w:rPr>
            <w:rStyle w:val="Hyperlink"/>
            <w:rFonts w:ascii="Arial" w:hAnsi="Arial" w:eastAsia="Times New Roman" w:cs="Times New Roman"/>
            <w:b/>
            <w:bCs/>
            <w:noProof/>
            <w:lang w:val="en-GB"/>
          </w:rPr>
          <w:t>Summary of the findings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_Toc110434591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6</w:t>
        </w:r>
        <w:r w:rsidR="00FA2EE1">
          <w:rPr>
            <w:noProof/>
            <w:webHidden/>
            <w:color w:val="2B579A"/>
            <w:shd w:val="clear" w:color="auto" w:fill="E6E6E6"/>
          </w:rPr>
          <w:fldChar w:fldCharType="end"/>
        </w:r>
      </w:hyperlink>
    </w:p>
    <w:p w:rsidR="00FA2EE1" w:rsidRDefault="009D06E0" w14:paraId="615D72CC" w14:textId="45148647">
      <w:pPr>
        <w:pStyle w:val="TOC3"/>
        <w:rPr>
          <w:rFonts w:eastAsiaTheme="minorEastAsia"/>
          <w:noProof/>
          <w:lang w:val="en-GB" w:eastAsia="en-GB"/>
        </w:rPr>
      </w:pPr>
      <w:hyperlink w:history="1" w:anchor="_Toc110434592">
        <w:r w:rsidRPr="008C20B6" w:rsidR="00FA2EE1">
          <w:rPr>
            <w:rStyle w:val="Hyperlink"/>
            <w:rFonts w:eastAsiaTheme="majorEastAsia"/>
            <w:noProof/>
          </w:rPr>
          <w:t>2.1</w:t>
        </w:r>
        <w:r w:rsidR="00FA2EE1">
          <w:rPr>
            <w:rFonts w:eastAsiaTheme="minorEastAsia"/>
            <w:noProof/>
            <w:lang w:val="en-GB" w:eastAsia="en-GB"/>
          </w:rPr>
          <w:tab/>
        </w:r>
        <w:r w:rsidRPr="008C20B6" w:rsidR="00FA2EE1">
          <w:rPr>
            <w:rStyle w:val="Hyperlink"/>
            <w:rFonts w:eastAsiaTheme="majorEastAsia"/>
            <w:noProof/>
          </w:rPr>
          <w:t>Summary of issues raised in submissions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_Toc110434592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6</w:t>
        </w:r>
        <w:r w:rsidR="00FA2EE1">
          <w:rPr>
            <w:noProof/>
            <w:webHidden/>
            <w:color w:val="2B579A"/>
            <w:shd w:val="clear" w:color="auto" w:fill="E6E6E6"/>
          </w:rPr>
          <w:fldChar w:fldCharType="end"/>
        </w:r>
      </w:hyperlink>
    </w:p>
    <w:p w:rsidR="00FA2EE1" w:rsidRDefault="009D06E0" w14:paraId="5909F7D1" w14:textId="75560405">
      <w:pPr>
        <w:pStyle w:val="TOC3"/>
        <w:rPr>
          <w:rFonts w:eastAsiaTheme="minorEastAsia"/>
          <w:noProof/>
          <w:lang w:val="en-GB" w:eastAsia="en-GB"/>
        </w:rPr>
      </w:pPr>
      <w:hyperlink w:history="1" w:anchor="_Toc110434593">
        <w:r w:rsidRPr="008C20B6" w:rsidR="00FA2EE1">
          <w:rPr>
            <w:rStyle w:val="Hyperlink"/>
            <w:rFonts w:eastAsiaTheme="majorEastAsia"/>
            <w:noProof/>
          </w:rPr>
          <w:t>2.2</w:t>
        </w:r>
        <w:r w:rsidR="00FA2EE1">
          <w:rPr>
            <w:rFonts w:eastAsiaTheme="minorEastAsia"/>
            <w:noProof/>
            <w:lang w:val="en-GB" w:eastAsia="en-GB"/>
          </w:rPr>
          <w:tab/>
        </w:r>
        <w:r w:rsidRPr="008C20B6" w:rsidR="00FA2EE1">
          <w:rPr>
            <w:rStyle w:val="Hyperlink"/>
            <w:rFonts w:eastAsiaTheme="majorEastAsia"/>
            <w:noProof/>
          </w:rPr>
          <w:t>Risk assessment</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_Toc110434593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6</w:t>
        </w:r>
        <w:r w:rsidR="00FA2EE1">
          <w:rPr>
            <w:noProof/>
            <w:webHidden/>
            <w:color w:val="2B579A"/>
            <w:shd w:val="clear" w:color="auto" w:fill="E6E6E6"/>
          </w:rPr>
          <w:fldChar w:fldCharType="end"/>
        </w:r>
      </w:hyperlink>
    </w:p>
    <w:p w:rsidR="00FA2EE1" w:rsidRDefault="009D06E0" w14:paraId="6E74E27E" w14:textId="53694ADD">
      <w:pPr>
        <w:pStyle w:val="TOC3"/>
        <w:rPr>
          <w:rFonts w:eastAsiaTheme="minorEastAsia"/>
          <w:noProof/>
          <w:lang w:val="en-GB" w:eastAsia="en-GB"/>
        </w:rPr>
      </w:pPr>
      <w:hyperlink w:history="1" w:anchor="_Toc110434594">
        <w:r w:rsidRPr="008C20B6" w:rsidR="00FA2EE1">
          <w:rPr>
            <w:rStyle w:val="Hyperlink"/>
            <w:rFonts w:eastAsiaTheme="majorEastAsia"/>
            <w:noProof/>
          </w:rPr>
          <w:t>2.3</w:t>
        </w:r>
        <w:r w:rsidR="00FA2EE1">
          <w:rPr>
            <w:rFonts w:eastAsiaTheme="minorEastAsia"/>
            <w:noProof/>
            <w:lang w:val="en-GB" w:eastAsia="en-GB"/>
          </w:rPr>
          <w:tab/>
        </w:r>
        <w:r w:rsidRPr="008C20B6" w:rsidR="00FA2EE1">
          <w:rPr>
            <w:rStyle w:val="Hyperlink"/>
            <w:rFonts w:eastAsiaTheme="majorEastAsia"/>
            <w:noProof/>
          </w:rPr>
          <w:t>Risk management</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_Toc110434594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6</w:t>
        </w:r>
        <w:r w:rsidR="00FA2EE1">
          <w:rPr>
            <w:noProof/>
            <w:webHidden/>
            <w:color w:val="2B579A"/>
            <w:shd w:val="clear" w:color="auto" w:fill="E6E6E6"/>
          </w:rPr>
          <w:fldChar w:fldCharType="end"/>
        </w:r>
      </w:hyperlink>
    </w:p>
    <w:p w:rsidR="00FA2EE1" w:rsidRDefault="009D06E0" w14:paraId="1521E640" w14:textId="6ECB5BFD">
      <w:pPr>
        <w:pStyle w:val="TOC3"/>
        <w:rPr>
          <w:rFonts w:eastAsiaTheme="minorEastAsia"/>
          <w:noProof/>
          <w:lang w:val="en-GB" w:eastAsia="en-GB"/>
        </w:rPr>
      </w:pPr>
      <w:hyperlink w:history="1" w:anchor="_Toc110434595">
        <w:r w:rsidRPr="008C20B6" w:rsidR="00FA2EE1">
          <w:rPr>
            <w:rStyle w:val="Hyperlink"/>
            <w:rFonts w:eastAsiaTheme="majorEastAsia"/>
            <w:i/>
            <w:noProof/>
          </w:rPr>
          <w:t>2.3.1</w:t>
        </w:r>
        <w:r w:rsidR="00FA2EE1">
          <w:rPr>
            <w:rFonts w:eastAsiaTheme="minorEastAsia"/>
            <w:noProof/>
            <w:lang w:val="en-GB" w:eastAsia="en-GB"/>
          </w:rPr>
          <w:tab/>
        </w:r>
        <w:r w:rsidRPr="008C20B6" w:rsidR="00FA2EE1">
          <w:rPr>
            <w:rStyle w:val="Hyperlink"/>
            <w:rFonts w:eastAsiaTheme="majorEastAsia"/>
            <w:i/>
            <w:noProof/>
          </w:rPr>
          <w:t>Regulatory approval for enzymes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_Toc110434595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7</w:t>
        </w:r>
        <w:r w:rsidR="00FA2EE1">
          <w:rPr>
            <w:noProof/>
            <w:webHidden/>
            <w:color w:val="2B579A"/>
            <w:shd w:val="clear" w:color="auto" w:fill="E6E6E6"/>
          </w:rPr>
          <w:fldChar w:fldCharType="end"/>
        </w:r>
      </w:hyperlink>
    </w:p>
    <w:p w:rsidR="00FA2EE1" w:rsidRDefault="009D06E0" w14:paraId="508ADD12" w14:textId="6290B20F">
      <w:pPr>
        <w:pStyle w:val="TOC3"/>
        <w:rPr>
          <w:rFonts w:eastAsiaTheme="minorEastAsia"/>
          <w:noProof/>
          <w:lang w:val="en-GB" w:eastAsia="en-GB"/>
        </w:rPr>
      </w:pPr>
      <w:hyperlink w:history="1" w:anchor="_Toc110434596">
        <w:r w:rsidRPr="008C20B6" w:rsidR="00FA2EE1">
          <w:rPr>
            <w:rStyle w:val="Hyperlink"/>
            <w:rFonts w:eastAsiaTheme="majorEastAsia"/>
            <w:i/>
            <w:noProof/>
          </w:rPr>
          <w:t>2.3.2</w:t>
        </w:r>
        <w:r w:rsidR="00FA2EE1">
          <w:rPr>
            <w:rFonts w:eastAsiaTheme="minorEastAsia"/>
            <w:noProof/>
            <w:lang w:val="en-GB" w:eastAsia="en-GB"/>
          </w:rPr>
          <w:tab/>
        </w:r>
        <w:r w:rsidRPr="008C20B6" w:rsidR="00FA2EE1">
          <w:rPr>
            <w:rStyle w:val="Hyperlink"/>
            <w:rFonts w:eastAsiaTheme="majorEastAsia"/>
            <w:i/>
            <w:noProof/>
          </w:rPr>
          <w:t>Enzyme and source microorganism nomenclature</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_Toc110434596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7</w:t>
        </w:r>
        <w:r w:rsidR="00FA2EE1">
          <w:rPr>
            <w:noProof/>
            <w:webHidden/>
            <w:color w:val="2B579A"/>
            <w:shd w:val="clear" w:color="auto" w:fill="E6E6E6"/>
          </w:rPr>
          <w:fldChar w:fldCharType="end"/>
        </w:r>
      </w:hyperlink>
    </w:p>
    <w:p w:rsidR="00FA2EE1" w:rsidRDefault="009D06E0" w14:paraId="7A4FE1BD" w14:textId="6B5217AA">
      <w:pPr>
        <w:pStyle w:val="TOC3"/>
        <w:rPr>
          <w:rFonts w:eastAsiaTheme="minorEastAsia"/>
          <w:noProof/>
          <w:lang w:val="en-GB" w:eastAsia="en-GB"/>
        </w:rPr>
      </w:pPr>
      <w:hyperlink w:history="1" w:anchor="_Toc110434597">
        <w:r w:rsidRPr="008C20B6" w:rsidR="00FA2EE1">
          <w:rPr>
            <w:rStyle w:val="Hyperlink"/>
            <w:rFonts w:eastAsiaTheme="majorEastAsia"/>
            <w:i/>
            <w:noProof/>
          </w:rPr>
          <w:t>2.3.3</w:t>
        </w:r>
        <w:r w:rsidR="00FA2EE1">
          <w:rPr>
            <w:rFonts w:eastAsiaTheme="minorEastAsia"/>
            <w:noProof/>
            <w:lang w:val="en-GB" w:eastAsia="en-GB"/>
          </w:rPr>
          <w:tab/>
        </w:r>
        <w:r w:rsidRPr="008C20B6" w:rsidR="00FA2EE1">
          <w:rPr>
            <w:rStyle w:val="Hyperlink"/>
            <w:rFonts w:eastAsiaTheme="majorEastAsia"/>
            <w:i/>
            <w:noProof/>
          </w:rPr>
          <w:t>Labelling requirements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_Toc110434597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7</w:t>
        </w:r>
        <w:r w:rsidR="00FA2EE1">
          <w:rPr>
            <w:noProof/>
            <w:webHidden/>
            <w:color w:val="2B579A"/>
            <w:shd w:val="clear" w:color="auto" w:fill="E6E6E6"/>
          </w:rPr>
          <w:fldChar w:fldCharType="end"/>
        </w:r>
      </w:hyperlink>
    </w:p>
    <w:p w:rsidR="00FA2EE1" w:rsidRDefault="009D06E0" w14:paraId="65940692" w14:textId="42460A3F">
      <w:pPr>
        <w:pStyle w:val="TOC3"/>
        <w:rPr>
          <w:rFonts w:eastAsiaTheme="minorEastAsia"/>
          <w:noProof/>
          <w:lang w:val="en-GB" w:eastAsia="en-GB"/>
        </w:rPr>
      </w:pPr>
      <w:hyperlink w:history="1" w:anchor="_Toc110434598">
        <w:r w:rsidRPr="008C20B6" w:rsidR="00FA2EE1">
          <w:rPr>
            <w:rStyle w:val="Hyperlink"/>
            <w:i/>
            <w:noProof/>
          </w:rPr>
          <w:t>2.3.3.1</w:t>
        </w:r>
        <w:r w:rsidR="00FA2EE1">
          <w:rPr>
            <w:rFonts w:eastAsiaTheme="minorEastAsia"/>
            <w:noProof/>
            <w:lang w:val="en-GB" w:eastAsia="en-GB"/>
          </w:rPr>
          <w:tab/>
        </w:r>
        <w:r w:rsidRPr="008C20B6" w:rsidR="00FA2EE1">
          <w:rPr>
            <w:rStyle w:val="Hyperlink"/>
            <w:i/>
            <w:iCs/>
            <w:noProof/>
          </w:rPr>
          <w:t>Declaration of certain substances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_Toc110434598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7</w:t>
        </w:r>
        <w:r w:rsidR="00FA2EE1">
          <w:rPr>
            <w:noProof/>
            <w:webHidden/>
            <w:color w:val="2B579A"/>
            <w:shd w:val="clear" w:color="auto" w:fill="E6E6E6"/>
          </w:rPr>
          <w:fldChar w:fldCharType="end"/>
        </w:r>
      </w:hyperlink>
    </w:p>
    <w:p w:rsidR="00FA2EE1" w:rsidRDefault="009D06E0" w14:paraId="7ACCF311" w14:textId="757CB29A">
      <w:pPr>
        <w:pStyle w:val="TOC3"/>
        <w:rPr>
          <w:rFonts w:eastAsiaTheme="minorEastAsia"/>
          <w:noProof/>
          <w:lang w:val="en-GB" w:eastAsia="en-GB"/>
        </w:rPr>
      </w:pPr>
      <w:hyperlink w:history="1" w:anchor="_Toc110434599">
        <w:r w:rsidRPr="008C20B6" w:rsidR="00FA2EE1">
          <w:rPr>
            <w:rStyle w:val="Hyperlink"/>
            <w:i/>
            <w:noProof/>
          </w:rPr>
          <w:t>2.3.3.2</w:t>
        </w:r>
        <w:r w:rsidR="00FA2EE1">
          <w:rPr>
            <w:rFonts w:eastAsiaTheme="minorEastAsia"/>
            <w:noProof/>
            <w:lang w:val="en-GB" w:eastAsia="en-GB"/>
          </w:rPr>
          <w:tab/>
        </w:r>
        <w:r w:rsidRPr="008C20B6" w:rsidR="00FA2EE1">
          <w:rPr>
            <w:rStyle w:val="Hyperlink"/>
            <w:i/>
            <w:noProof/>
          </w:rPr>
          <w:t>Labelling requirements for food produced using gene technology</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_Toc110434599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7</w:t>
        </w:r>
        <w:r w:rsidR="00FA2EE1">
          <w:rPr>
            <w:noProof/>
            <w:webHidden/>
            <w:color w:val="2B579A"/>
            <w:shd w:val="clear" w:color="auto" w:fill="E6E6E6"/>
          </w:rPr>
          <w:fldChar w:fldCharType="end"/>
        </w:r>
      </w:hyperlink>
    </w:p>
    <w:p w:rsidR="00FA2EE1" w:rsidRDefault="009D06E0" w14:paraId="2395BFD3" w14:textId="7540CC3F">
      <w:pPr>
        <w:pStyle w:val="TOC3"/>
        <w:rPr>
          <w:rFonts w:eastAsiaTheme="minorEastAsia"/>
          <w:noProof/>
          <w:lang w:val="en-GB" w:eastAsia="en-GB"/>
        </w:rPr>
      </w:pPr>
      <w:hyperlink w:history="1" w:anchor="_Toc110434600">
        <w:r w:rsidRPr="008C20B6" w:rsidR="00FA2EE1">
          <w:rPr>
            <w:rStyle w:val="Hyperlink"/>
            <w:rFonts w:eastAsiaTheme="majorEastAsia"/>
            <w:i/>
            <w:noProof/>
          </w:rPr>
          <w:t>2.3.4</w:t>
        </w:r>
        <w:r w:rsidR="00FA2EE1">
          <w:rPr>
            <w:rFonts w:eastAsiaTheme="minorEastAsia"/>
            <w:noProof/>
            <w:lang w:val="en-GB" w:eastAsia="en-GB"/>
          </w:rPr>
          <w:tab/>
        </w:r>
        <w:r w:rsidRPr="008C20B6" w:rsidR="00FA2EE1">
          <w:rPr>
            <w:rStyle w:val="Hyperlink"/>
            <w:rFonts w:eastAsiaTheme="majorEastAsia"/>
            <w:i/>
            <w:noProof/>
          </w:rPr>
          <w:t>Risk management conclusion</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_Toc110434600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8</w:t>
        </w:r>
        <w:r w:rsidR="00FA2EE1">
          <w:rPr>
            <w:noProof/>
            <w:webHidden/>
            <w:color w:val="2B579A"/>
            <w:shd w:val="clear" w:color="auto" w:fill="E6E6E6"/>
          </w:rPr>
          <w:fldChar w:fldCharType="end"/>
        </w:r>
      </w:hyperlink>
    </w:p>
    <w:p w:rsidR="00FA2EE1" w:rsidRDefault="009D06E0" w14:paraId="42ECC3D0" w14:textId="1F17961C">
      <w:pPr>
        <w:pStyle w:val="TOC3"/>
        <w:rPr>
          <w:rFonts w:eastAsiaTheme="minorEastAsia"/>
          <w:noProof/>
          <w:lang w:val="en-GB" w:eastAsia="en-GB"/>
        </w:rPr>
      </w:pPr>
      <w:hyperlink w:history="1" w:anchor="_Toc110434601">
        <w:r w:rsidRPr="008C20B6" w:rsidR="00FA2EE1">
          <w:rPr>
            <w:rStyle w:val="Hyperlink"/>
            <w:rFonts w:eastAsiaTheme="majorEastAsia"/>
            <w:noProof/>
          </w:rPr>
          <w:t>2.4</w:t>
        </w:r>
        <w:r w:rsidR="00FA2EE1">
          <w:rPr>
            <w:rFonts w:eastAsiaTheme="minorEastAsia"/>
            <w:noProof/>
            <w:lang w:val="en-GB" w:eastAsia="en-GB"/>
          </w:rPr>
          <w:tab/>
        </w:r>
        <w:r w:rsidRPr="008C20B6" w:rsidR="00FA2EE1">
          <w:rPr>
            <w:rStyle w:val="Hyperlink"/>
            <w:rFonts w:eastAsiaTheme="majorEastAsia"/>
            <w:noProof/>
          </w:rPr>
          <w:t>Risk communication</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_Toc110434601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8</w:t>
        </w:r>
        <w:r w:rsidR="00FA2EE1">
          <w:rPr>
            <w:noProof/>
            <w:webHidden/>
            <w:color w:val="2B579A"/>
            <w:shd w:val="clear" w:color="auto" w:fill="E6E6E6"/>
          </w:rPr>
          <w:fldChar w:fldCharType="end"/>
        </w:r>
      </w:hyperlink>
    </w:p>
    <w:p w:rsidR="00FA2EE1" w:rsidRDefault="009D06E0" w14:paraId="1020EB51" w14:textId="601BC0FC">
      <w:pPr>
        <w:pStyle w:val="TOC3"/>
        <w:rPr>
          <w:rFonts w:eastAsiaTheme="minorEastAsia"/>
          <w:noProof/>
          <w:lang w:val="en-GB" w:eastAsia="en-GB"/>
        </w:rPr>
      </w:pPr>
      <w:hyperlink w:history="1" w:anchor="_Toc110434602">
        <w:r w:rsidRPr="008C20B6" w:rsidR="00FA2EE1">
          <w:rPr>
            <w:rStyle w:val="Hyperlink"/>
            <w:rFonts w:eastAsiaTheme="majorEastAsia"/>
            <w:i/>
            <w:noProof/>
          </w:rPr>
          <w:t>2.4.1</w:t>
        </w:r>
        <w:r w:rsidR="00FA2EE1">
          <w:rPr>
            <w:rFonts w:eastAsiaTheme="minorEastAsia"/>
            <w:noProof/>
            <w:lang w:val="en-GB" w:eastAsia="en-GB"/>
          </w:rPr>
          <w:tab/>
        </w:r>
        <w:r w:rsidRPr="008C20B6" w:rsidR="00FA2EE1">
          <w:rPr>
            <w:rStyle w:val="Hyperlink"/>
            <w:rFonts w:eastAsiaTheme="majorEastAsia"/>
            <w:i/>
            <w:noProof/>
          </w:rPr>
          <w:t>Consultation</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_Toc110434602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8</w:t>
        </w:r>
        <w:r w:rsidR="00FA2EE1">
          <w:rPr>
            <w:noProof/>
            <w:webHidden/>
            <w:color w:val="2B579A"/>
            <w:shd w:val="clear" w:color="auto" w:fill="E6E6E6"/>
          </w:rPr>
          <w:fldChar w:fldCharType="end"/>
        </w:r>
      </w:hyperlink>
    </w:p>
    <w:p w:rsidR="00FA2EE1" w:rsidRDefault="009D06E0" w14:paraId="59F0335A" w14:textId="3A30C4B7">
      <w:pPr>
        <w:pStyle w:val="TOC3"/>
        <w:rPr>
          <w:rFonts w:eastAsiaTheme="minorEastAsia"/>
          <w:noProof/>
          <w:lang w:val="en-GB" w:eastAsia="en-GB"/>
        </w:rPr>
      </w:pPr>
      <w:hyperlink w:history="1" w:anchor="_Toc110434603">
        <w:r w:rsidRPr="008C20B6" w:rsidR="00FA2EE1">
          <w:rPr>
            <w:rStyle w:val="Hyperlink"/>
            <w:rFonts w:eastAsiaTheme="majorEastAsia"/>
            <w:noProof/>
          </w:rPr>
          <w:t>2.5</w:t>
        </w:r>
        <w:r w:rsidR="00FA2EE1">
          <w:rPr>
            <w:rFonts w:eastAsiaTheme="minorEastAsia"/>
            <w:noProof/>
            <w:lang w:val="en-GB" w:eastAsia="en-GB"/>
          </w:rPr>
          <w:tab/>
        </w:r>
        <w:r w:rsidRPr="008C20B6" w:rsidR="00FA2EE1">
          <w:rPr>
            <w:rStyle w:val="Hyperlink"/>
            <w:rFonts w:eastAsiaTheme="majorEastAsia"/>
            <w:noProof/>
          </w:rPr>
          <w:t>FSANZ Act assessment requirements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_Toc110434603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9</w:t>
        </w:r>
        <w:r w:rsidR="00FA2EE1">
          <w:rPr>
            <w:noProof/>
            <w:webHidden/>
            <w:color w:val="2B579A"/>
            <w:shd w:val="clear" w:color="auto" w:fill="E6E6E6"/>
          </w:rPr>
          <w:fldChar w:fldCharType="end"/>
        </w:r>
      </w:hyperlink>
    </w:p>
    <w:p w:rsidR="00FA2EE1" w:rsidRDefault="009D06E0" w14:paraId="6EEEF4FC" w14:textId="3873626F">
      <w:pPr>
        <w:pStyle w:val="TOC3"/>
        <w:rPr>
          <w:rFonts w:eastAsiaTheme="minorEastAsia"/>
          <w:noProof/>
          <w:lang w:val="en-GB" w:eastAsia="en-GB"/>
        </w:rPr>
      </w:pPr>
      <w:hyperlink w:history="1" w:anchor="_Toc110434604">
        <w:r w:rsidRPr="008C20B6" w:rsidR="00FA2EE1">
          <w:rPr>
            <w:rStyle w:val="Hyperlink"/>
            <w:rFonts w:eastAsiaTheme="majorEastAsia"/>
            <w:i/>
            <w:noProof/>
          </w:rPr>
          <w:t>2.5.1</w:t>
        </w:r>
        <w:r w:rsidR="00FA2EE1">
          <w:rPr>
            <w:rFonts w:eastAsiaTheme="minorEastAsia"/>
            <w:noProof/>
            <w:lang w:val="en-GB" w:eastAsia="en-GB"/>
          </w:rPr>
          <w:tab/>
        </w:r>
        <w:r w:rsidRPr="008C20B6" w:rsidR="00FA2EE1">
          <w:rPr>
            <w:rStyle w:val="Hyperlink"/>
            <w:rFonts w:eastAsiaTheme="majorEastAsia"/>
            <w:i/>
            <w:noProof/>
          </w:rPr>
          <w:t>Section 29</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_Toc110434604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9</w:t>
        </w:r>
        <w:r w:rsidR="00FA2EE1">
          <w:rPr>
            <w:noProof/>
            <w:webHidden/>
            <w:color w:val="2B579A"/>
            <w:shd w:val="clear" w:color="auto" w:fill="E6E6E6"/>
          </w:rPr>
          <w:fldChar w:fldCharType="end"/>
        </w:r>
      </w:hyperlink>
    </w:p>
    <w:p w:rsidR="00FA2EE1" w:rsidRDefault="009D06E0" w14:paraId="603959F6" w14:textId="02FEAE19">
      <w:pPr>
        <w:pStyle w:val="TOC3"/>
        <w:rPr>
          <w:rFonts w:eastAsiaTheme="minorEastAsia"/>
          <w:noProof/>
          <w:lang w:val="en-GB" w:eastAsia="en-GB"/>
        </w:rPr>
      </w:pPr>
      <w:hyperlink w:history="1" w:anchor="_Toc110434605">
        <w:r w:rsidRPr="008C20B6" w:rsidR="00FA2EE1">
          <w:rPr>
            <w:rStyle w:val="Hyperlink"/>
            <w:i/>
            <w:noProof/>
          </w:rPr>
          <w:t>2.5.1.1</w:t>
        </w:r>
        <w:r w:rsidR="00FA2EE1">
          <w:rPr>
            <w:rFonts w:eastAsiaTheme="minorEastAsia"/>
            <w:noProof/>
            <w:lang w:val="en-GB" w:eastAsia="en-GB"/>
          </w:rPr>
          <w:tab/>
        </w:r>
        <w:r w:rsidRPr="008C20B6" w:rsidR="00FA2EE1">
          <w:rPr>
            <w:rStyle w:val="Hyperlink"/>
            <w:i/>
            <w:noProof/>
          </w:rPr>
          <w:t>Consideration of costs and benefits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_Toc110434605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9</w:t>
        </w:r>
        <w:r w:rsidR="00FA2EE1">
          <w:rPr>
            <w:noProof/>
            <w:webHidden/>
            <w:color w:val="2B579A"/>
            <w:shd w:val="clear" w:color="auto" w:fill="E6E6E6"/>
          </w:rPr>
          <w:fldChar w:fldCharType="end"/>
        </w:r>
      </w:hyperlink>
    </w:p>
    <w:p w:rsidR="00FA2EE1" w:rsidRDefault="009D06E0" w14:paraId="133D1A4C" w14:textId="68010B53">
      <w:pPr>
        <w:pStyle w:val="TOC3"/>
        <w:rPr>
          <w:rFonts w:eastAsiaTheme="minorEastAsia"/>
          <w:noProof/>
          <w:lang w:val="en-GB" w:eastAsia="en-GB"/>
        </w:rPr>
      </w:pPr>
      <w:hyperlink w:history="1" w:anchor="_Toc110434606">
        <w:r w:rsidRPr="008C20B6" w:rsidR="00FA2EE1">
          <w:rPr>
            <w:rStyle w:val="Hyperlink"/>
            <w:i/>
            <w:noProof/>
          </w:rPr>
          <w:t>2.5.1.2</w:t>
        </w:r>
        <w:r w:rsidR="00FA2EE1">
          <w:rPr>
            <w:rFonts w:eastAsiaTheme="minorEastAsia"/>
            <w:noProof/>
            <w:lang w:val="en-GB" w:eastAsia="en-GB"/>
          </w:rPr>
          <w:tab/>
        </w:r>
        <w:r w:rsidRPr="008C20B6" w:rsidR="00FA2EE1">
          <w:rPr>
            <w:rStyle w:val="Hyperlink"/>
            <w:i/>
            <w:noProof/>
          </w:rPr>
          <w:t>Other measures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_Toc110434606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10</w:t>
        </w:r>
        <w:r w:rsidR="00FA2EE1">
          <w:rPr>
            <w:noProof/>
            <w:webHidden/>
            <w:color w:val="2B579A"/>
            <w:shd w:val="clear" w:color="auto" w:fill="E6E6E6"/>
          </w:rPr>
          <w:fldChar w:fldCharType="end"/>
        </w:r>
      </w:hyperlink>
    </w:p>
    <w:p w:rsidR="00FA2EE1" w:rsidRDefault="009D06E0" w14:paraId="2A26869D" w14:textId="25E245FF">
      <w:pPr>
        <w:pStyle w:val="TOC3"/>
        <w:rPr>
          <w:rFonts w:eastAsiaTheme="minorEastAsia"/>
          <w:noProof/>
          <w:lang w:val="en-GB" w:eastAsia="en-GB"/>
        </w:rPr>
      </w:pPr>
      <w:hyperlink w:history="1" w:anchor="_Toc110434607">
        <w:r w:rsidRPr="008C20B6" w:rsidR="00FA2EE1">
          <w:rPr>
            <w:rStyle w:val="Hyperlink"/>
            <w:i/>
            <w:noProof/>
          </w:rPr>
          <w:t>2.5.1.3</w:t>
        </w:r>
        <w:r w:rsidR="00FA2EE1">
          <w:rPr>
            <w:rFonts w:eastAsiaTheme="minorEastAsia"/>
            <w:noProof/>
            <w:lang w:val="en-GB" w:eastAsia="en-GB"/>
          </w:rPr>
          <w:tab/>
        </w:r>
        <w:r w:rsidRPr="008C20B6" w:rsidR="00FA2EE1">
          <w:rPr>
            <w:rStyle w:val="Hyperlink"/>
            <w:i/>
            <w:noProof/>
          </w:rPr>
          <w:t>Any relevant New Zealand standards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_Toc110434607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10</w:t>
        </w:r>
        <w:r w:rsidR="00FA2EE1">
          <w:rPr>
            <w:noProof/>
            <w:webHidden/>
            <w:color w:val="2B579A"/>
            <w:shd w:val="clear" w:color="auto" w:fill="E6E6E6"/>
          </w:rPr>
          <w:fldChar w:fldCharType="end"/>
        </w:r>
      </w:hyperlink>
    </w:p>
    <w:p w:rsidR="00FA2EE1" w:rsidRDefault="009D06E0" w14:paraId="230706EF" w14:textId="5EA415BE">
      <w:pPr>
        <w:pStyle w:val="TOC3"/>
        <w:rPr>
          <w:rFonts w:eastAsiaTheme="minorEastAsia"/>
          <w:noProof/>
          <w:lang w:val="en-GB" w:eastAsia="en-GB"/>
        </w:rPr>
      </w:pPr>
      <w:hyperlink w:history="1" w:anchor="_Toc110434608">
        <w:r w:rsidRPr="008C20B6" w:rsidR="00FA2EE1">
          <w:rPr>
            <w:rStyle w:val="Hyperlink"/>
            <w:i/>
            <w:noProof/>
          </w:rPr>
          <w:t>2.5.1.4</w:t>
        </w:r>
        <w:r w:rsidR="00FA2EE1">
          <w:rPr>
            <w:rFonts w:eastAsiaTheme="minorEastAsia"/>
            <w:noProof/>
            <w:lang w:val="en-GB" w:eastAsia="en-GB"/>
          </w:rPr>
          <w:tab/>
        </w:r>
        <w:r w:rsidRPr="008C20B6" w:rsidR="00FA2EE1">
          <w:rPr>
            <w:rStyle w:val="Hyperlink"/>
            <w:i/>
            <w:noProof/>
          </w:rPr>
          <w:t>Any other relevant matters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_Toc110434608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10</w:t>
        </w:r>
        <w:r w:rsidR="00FA2EE1">
          <w:rPr>
            <w:noProof/>
            <w:webHidden/>
            <w:color w:val="2B579A"/>
            <w:shd w:val="clear" w:color="auto" w:fill="E6E6E6"/>
          </w:rPr>
          <w:fldChar w:fldCharType="end"/>
        </w:r>
      </w:hyperlink>
    </w:p>
    <w:p w:rsidR="00FA2EE1" w:rsidRDefault="009D06E0" w14:paraId="5FA1C6C1" w14:textId="20556591">
      <w:pPr>
        <w:pStyle w:val="TOC3"/>
        <w:rPr>
          <w:rFonts w:eastAsiaTheme="minorEastAsia"/>
          <w:noProof/>
          <w:lang w:val="en-GB" w:eastAsia="en-GB"/>
        </w:rPr>
      </w:pPr>
      <w:hyperlink w:history="1" w:anchor="_Toc110434609">
        <w:r w:rsidRPr="008C20B6" w:rsidR="00FA2EE1">
          <w:rPr>
            <w:rStyle w:val="Hyperlink"/>
            <w:rFonts w:eastAsiaTheme="majorEastAsia"/>
            <w:i/>
            <w:noProof/>
          </w:rPr>
          <w:t>2.5.2.</w:t>
        </w:r>
        <w:r w:rsidR="00FA2EE1">
          <w:rPr>
            <w:rFonts w:eastAsiaTheme="minorEastAsia"/>
            <w:noProof/>
            <w:lang w:val="en-GB" w:eastAsia="en-GB"/>
          </w:rPr>
          <w:tab/>
        </w:r>
        <w:r w:rsidRPr="008C20B6" w:rsidR="00FA2EE1">
          <w:rPr>
            <w:rStyle w:val="Hyperlink"/>
            <w:rFonts w:eastAsiaTheme="majorEastAsia"/>
            <w:i/>
            <w:noProof/>
          </w:rPr>
          <w:t>Subsection 18(1)</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_Toc110434609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10</w:t>
        </w:r>
        <w:r w:rsidR="00FA2EE1">
          <w:rPr>
            <w:noProof/>
            <w:webHidden/>
            <w:color w:val="2B579A"/>
            <w:shd w:val="clear" w:color="auto" w:fill="E6E6E6"/>
          </w:rPr>
          <w:fldChar w:fldCharType="end"/>
        </w:r>
      </w:hyperlink>
    </w:p>
    <w:p w:rsidR="00FA2EE1" w:rsidRDefault="009D06E0" w14:paraId="5C52C256" w14:textId="3879A89B">
      <w:pPr>
        <w:pStyle w:val="TOC3"/>
        <w:rPr>
          <w:rFonts w:eastAsiaTheme="minorEastAsia"/>
          <w:noProof/>
          <w:lang w:val="en-GB" w:eastAsia="en-GB"/>
        </w:rPr>
      </w:pPr>
      <w:hyperlink w:history="1" w:anchor="_Toc110434610">
        <w:r w:rsidRPr="008C20B6" w:rsidR="00FA2EE1">
          <w:rPr>
            <w:rStyle w:val="Hyperlink"/>
            <w:i/>
            <w:noProof/>
          </w:rPr>
          <w:t>2.5.2.1</w:t>
        </w:r>
        <w:r w:rsidR="00FA2EE1">
          <w:rPr>
            <w:rFonts w:eastAsiaTheme="minorEastAsia"/>
            <w:noProof/>
            <w:lang w:val="en-GB" w:eastAsia="en-GB"/>
          </w:rPr>
          <w:tab/>
        </w:r>
        <w:r w:rsidRPr="008C20B6" w:rsidR="00FA2EE1">
          <w:rPr>
            <w:rStyle w:val="Hyperlink"/>
            <w:i/>
            <w:noProof/>
          </w:rPr>
          <w:t>Protection of public health and safety</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_Toc110434610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10</w:t>
        </w:r>
        <w:r w:rsidR="00FA2EE1">
          <w:rPr>
            <w:noProof/>
            <w:webHidden/>
            <w:color w:val="2B579A"/>
            <w:shd w:val="clear" w:color="auto" w:fill="E6E6E6"/>
          </w:rPr>
          <w:fldChar w:fldCharType="end"/>
        </w:r>
      </w:hyperlink>
    </w:p>
    <w:p w:rsidR="00FA2EE1" w:rsidRDefault="009D06E0" w14:paraId="6DF6507B" w14:textId="5A971DD1">
      <w:pPr>
        <w:pStyle w:val="TOC3"/>
        <w:rPr>
          <w:rFonts w:eastAsiaTheme="minorEastAsia"/>
          <w:noProof/>
          <w:lang w:val="en-GB" w:eastAsia="en-GB"/>
        </w:rPr>
      </w:pPr>
      <w:hyperlink w:history="1" w:anchor="_Toc110434611">
        <w:r w:rsidRPr="008C20B6" w:rsidR="00FA2EE1">
          <w:rPr>
            <w:rStyle w:val="Hyperlink"/>
            <w:i/>
            <w:noProof/>
          </w:rPr>
          <w:t>2.5.2.2</w:t>
        </w:r>
        <w:r w:rsidR="00FA2EE1">
          <w:rPr>
            <w:rFonts w:eastAsiaTheme="minorEastAsia"/>
            <w:noProof/>
            <w:lang w:val="en-GB" w:eastAsia="en-GB"/>
          </w:rPr>
          <w:tab/>
        </w:r>
        <w:r w:rsidRPr="008C20B6" w:rsidR="00FA2EE1">
          <w:rPr>
            <w:rStyle w:val="Hyperlink"/>
            <w:i/>
            <w:noProof/>
          </w:rPr>
          <w:t>The provision of adequate information relating to food to enable consumers to make informed choices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_Toc110434611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10</w:t>
        </w:r>
        <w:r w:rsidR="00FA2EE1">
          <w:rPr>
            <w:noProof/>
            <w:webHidden/>
            <w:color w:val="2B579A"/>
            <w:shd w:val="clear" w:color="auto" w:fill="E6E6E6"/>
          </w:rPr>
          <w:fldChar w:fldCharType="end"/>
        </w:r>
      </w:hyperlink>
    </w:p>
    <w:p w:rsidR="00FA2EE1" w:rsidRDefault="009D06E0" w14:paraId="1D7A6676" w14:textId="5FBC4583">
      <w:pPr>
        <w:pStyle w:val="TOC3"/>
        <w:rPr>
          <w:rFonts w:eastAsiaTheme="minorEastAsia"/>
          <w:noProof/>
          <w:lang w:val="en-GB" w:eastAsia="en-GB"/>
        </w:rPr>
      </w:pPr>
      <w:hyperlink w:history="1" w:anchor="_Toc110434612">
        <w:r w:rsidRPr="008C20B6" w:rsidR="00FA2EE1">
          <w:rPr>
            <w:rStyle w:val="Hyperlink"/>
            <w:i/>
            <w:noProof/>
          </w:rPr>
          <w:t>2.5.2.3</w:t>
        </w:r>
        <w:r w:rsidR="00FA2EE1">
          <w:rPr>
            <w:rFonts w:eastAsiaTheme="minorEastAsia"/>
            <w:noProof/>
            <w:lang w:val="en-GB" w:eastAsia="en-GB"/>
          </w:rPr>
          <w:tab/>
        </w:r>
        <w:r w:rsidRPr="008C20B6" w:rsidR="00FA2EE1">
          <w:rPr>
            <w:rStyle w:val="Hyperlink"/>
            <w:i/>
            <w:noProof/>
          </w:rPr>
          <w:t>The prevention of misleading or deceptive conduct</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_Toc110434612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10</w:t>
        </w:r>
        <w:r w:rsidR="00FA2EE1">
          <w:rPr>
            <w:noProof/>
            <w:webHidden/>
            <w:color w:val="2B579A"/>
            <w:shd w:val="clear" w:color="auto" w:fill="E6E6E6"/>
          </w:rPr>
          <w:fldChar w:fldCharType="end"/>
        </w:r>
      </w:hyperlink>
    </w:p>
    <w:p w:rsidR="00FA2EE1" w:rsidRDefault="009D06E0" w14:paraId="7BB9865E" w14:textId="4BD5B1E0">
      <w:pPr>
        <w:pStyle w:val="TOC3"/>
        <w:rPr>
          <w:rFonts w:eastAsiaTheme="minorEastAsia"/>
          <w:noProof/>
          <w:lang w:val="en-GB" w:eastAsia="en-GB"/>
        </w:rPr>
      </w:pPr>
      <w:hyperlink w:history="1" w:anchor="_Toc110434613">
        <w:r w:rsidRPr="008C20B6" w:rsidR="00FA2EE1">
          <w:rPr>
            <w:rStyle w:val="Hyperlink"/>
            <w:rFonts w:eastAsiaTheme="majorEastAsia"/>
            <w:i/>
            <w:noProof/>
          </w:rPr>
          <w:t>2.5.3</w:t>
        </w:r>
        <w:r w:rsidR="00FA2EE1">
          <w:rPr>
            <w:rFonts w:eastAsiaTheme="minorEastAsia"/>
            <w:noProof/>
            <w:lang w:val="en-GB" w:eastAsia="en-GB"/>
          </w:rPr>
          <w:tab/>
        </w:r>
        <w:r w:rsidRPr="008C20B6" w:rsidR="00FA2EE1">
          <w:rPr>
            <w:rStyle w:val="Hyperlink"/>
            <w:rFonts w:eastAsiaTheme="majorEastAsia"/>
            <w:i/>
            <w:noProof/>
          </w:rPr>
          <w:t>Subsection 18(2) considerations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_Toc110434613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11</w:t>
        </w:r>
        <w:r w:rsidR="00FA2EE1">
          <w:rPr>
            <w:noProof/>
            <w:webHidden/>
            <w:color w:val="2B579A"/>
            <w:shd w:val="clear" w:color="auto" w:fill="E6E6E6"/>
          </w:rPr>
          <w:fldChar w:fldCharType="end"/>
        </w:r>
      </w:hyperlink>
    </w:p>
    <w:p w:rsidR="00FA2EE1" w:rsidRDefault="009D06E0" w14:paraId="1764CB9F" w14:textId="1A6F6B68">
      <w:pPr>
        <w:pStyle w:val="TOC1"/>
        <w:tabs>
          <w:tab w:val="left" w:pos="709"/>
          <w:tab w:val="right" w:leader="dot" w:pos="9060"/>
        </w:tabs>
        <w:rPr>
          <w:rFonts w:eastAsiaTheme="minorEastAsia"/>
          <w:noProof/>
          <w:lang w:val="en-GB" w:eastAsia="en-GB"/>
        </w:rPr>
      </w:pPr>
      <w:hyperlink w:history="1" w:anchor="_Toc110434614">
        <w:r w:rsidRPr="008C20B6" w:rsidR="00FA2EE1">
          <w:rPr>
            <w:rStyle w:val="Hyperlink"/>
            <w:rFonts w:ascii="Arial" w:hAnsi="Arial" w:eastAsia="Times New Roman" w:cs="Times New Roman"/>
            <w:b/>
            <w:bCs/>
            <w:noProof/>
            <w:lang w:val="en-GB"/>
          </w:rPr>
          <w:t>3</w:t>
        </w:r>
        <w:r w:rsidR="00FA2EE1">
          <w:rPr>
            <w:rFonts w:eastAsiaTheme="minorEastAsia"/>
            <w:noProof/>
            <w:lang w:val="en-GB" w:eastAsia="en-GB"/>
          </w:rPr>
          <w:tab/>
        </w:r>
        <w:r w:rsidRPr="008C20B6" w:rsidR="00FA2EE1">
          <w:rPr>
            <w:rStyle w:val="Hyperlink"/>
            <w:rFonts w:ascii="Arial" w:hAnsi="Arial" w:eastAsia="Times New Roman" w:cs="Times New Roman"/>
            <w:b/>
            <w:bCs/>
            <w:noProof/>
            <w:lang w:val="en-GB"/>
          </w:rPr>
          <w:t>References</w:t>
        </w:r>
        <w:r w:rsidR="00FA2EE1">
          <w:rPr>
            <w:noProof/>
            <w:webHidden/>
          </w:rPr>
          <w:tab/>
        </w:r>
        <w:r w:rsidR="00FA2EE1">
          <w:rPr>
            <w:noProof/>
            <w:webHidden/>
            <w:color w:val="2B579A"/>
            <w:shd w:val="clear" w:color="auto" w:fill="E6E6E6"/>
          </w:rPr>
          <w:fldChar w:fldCharType="begin"/>
        </w:r>
        <w:r w:rsidR="00FA2EE1">
          <w:rPr>
            <w:noProof/>
            <w:webHidden/>
          </w:rPr>
          <w:instrText xml:space="preserve"> PAGEREF _Toc110434614 \h </w:instrText>
        </w:r>
        <w:r w:rsidR="00FA2EE1">
          <w:rPr>
            <w:noProof/>
            <w:webHidden/>
            <w:color w:val="2B579A"/>
            <w:shd w:val="clear" w:color="auto" w:fill="E6E6E6"/>
          </w:rPr>
        </w:r>
        <w:r w:rsidR="00FA2EE1">
          <w:rPr>
            <w:noProof/>
            <w:webHidden/>
            <w:color w:val="2B579A"/>
            <w:shd w:val="clear" w:color="auto" w:fill="E6E6E6"/>
          </w:rPr>
          <w:fldChar w:fldCharType="separate"/>
        </w:r>
        <w:r w:rsidR="00E412CF">
          <w:rPr>
            <w:noProof/>
            <w:webHidden/>
          </w:rPr>
          <w:t>12</w:t>
        </w:r>
        <w:r w:rsidR="00FA2EE1">
          <w:rPr>
            <w:noProof/>
            <w:webHidden/>
            <w:color w:val="2B579A"/>
            <w:shd w:val="clear" w:color="auto" w:fill="E6E6E6"/>
          </w:rPr>
          <w:fldChar w:fldCharType="end"/>
        </w:r>
      </w:hyperlink>
    </w:p>
    <w:p w:rsidRPr="00E26D23" w:rsidR="00E26D23" w:rsidP="00E26D23" w:rsidRDefault="00E26D23" w14:paraId="5CF0FA69" w14:textId="69135326">
      <w:pPr>
        <w:widowControl w:val="0"/>
        <w:spacing w:after="0" w:line="240" w:lineRule="auto"/>
        <w:rPr>
          <w:rFonts w:ascii="Arial" w:hAnsi="Arial" w:eastAsia="Times New Roman" w:cs="Times New Roman"/>
          <w:szCs w:val="24"/>
          <w:lang w:val="en-GB" w:bidi="en-US"/>
        </w:rPr>
      </w:pPr>
      <w:r w:rsidRPr="00E26D23">
        <w:rPr>
          <w:rFonts w:ascii="Arial" w:hAnsi="Arial" w:eastAsia="Times New Roman" w:cs="Arial"/>
          <w:color w:val="2B579A"/>
          <w:sz w:val="20"/>
          <w:szCs w:val="20"/>
          <w:shd w:val="clear" w:color="auto" w:fill="E6E6E6"/>
          <w:lang w:val="en-GB" w:bidi="en-US"/>
        </w:rPr>
        <w:fldChar w:fldCharType="end"/>
      </w:r>
    </w:p>
    <w:p w:rsidRPr="00E26D23" w:rsidR="00E26D23" w:rsidP="00E26D23" w:rsidRDefault="00E26D23" w14:paraId="23C37553" w14:textId="77777777">
      <w:pPr>
        <w:widowControl w:val="0"/>
        <w:spacing w:after="0" w:line="240" w:lineRule="auto"/>
        <w:rPr>
          <w:rFonts w:ascii="Arial" w:hAnsi="Arial" w:eastAsia="Times New Roman" w:cs="Times New Roman"/>
          <w:szCs w:val="24"/>
          <w:lang w:val="en-GB" w:bidi="en-US"/>
        </w:rPr>
      </w:pPr>
    </w:p>
    <w:p w:rsidRPr="00E26D23" w:rsidR="00E26D23" w:rsidP="00E26D23" w:rsidRDefault="00E26D23" w14:paraId="1C78A934" w14:textId="0CCEB02D">
      <w:pPr>
        <w:widowControl w:val="0"/>
        <w:spacing w:after="0" w:line="240" w:lineRule="auto"/>
        <w:rPr>
          <w:rFonts w:ascii="Arial" w:hAnsi="Arial" w:eastAsia="Times New Roman" w:cs="Times New Roman"/>
          <w:b/>
          <w:bCs/>
          <w:szCs w:val="24"/>
          <w:lang w:val="en-GB" w:bidi="en-US"/>
        </w:rPr>
      </w:pPr>
      <w:r w:rsidRPr="00E26D23">
        <w:rPr>
          <w:rFonts w:ascii="Arial" w:hAnsi="Arial" w:eastAsia="Times New Roman" w:cs="Times New Roman"/>
          <w:b/>
          <w:bCs/>
          <w:szCs w:val="24"/>
          <w:lang w:val="en-GB" w:bidi="en-US"/>
        </w:rPr>
        <w:t xml:space="preserve">Supporting document </w:t>
      </w:r>
    </w:p>
    <w:p w:rsidRPr="00E26D23" w:rsidR="00E26D23" w:rsidP="00E26D23" w:rsidRDefault="00E26D23" w14:paraId="5BFFDE45" w14:textId="77777777">
      <w:pPr>
        <w:widowControl w:val="0"/>
        <w:spacing w:after="0" w:line="240" w:lineRule="auto"/>
        <w:rPr>
          <w:rFonts w:ascii="Arial" w:hAnsi="Arial" w:eastAsia="Times New Roman" w:cs="Times New Roman"/>
          <w:lang w:val="en-GB" w:bidi="en-US"/>
        </w:rPr>
      </w:pPr>
    </w:p>
    <w:p w:rsidRPr="00E26D23" w:rsidR="00E26D23" w:rsidP="00E26D23" w:rsidRDefault="00E26D23" w14:paraId="01FEE79E" w14:textId="723F8871">
      <w:pPr>
        <w:widowControl w:val="0"/>
        <w:spacing w:after="0" w:line="240" w:lineRule="auto"/>
        <w:rPr>
          <w:rFonts w:ascii="Arial" w:hAnsi="Arial" w:eastAsia="Times New Roman" w:cs="Times New Roman"/>
          <w:lang w:val="en-GB" w:bidi="en-US"/>
        </w:rPr>
      </w:pPr>
      <w:r w:rsidRPr="00E26D23">
        <w:rPr>
          <w:rFonts w:ascii="Arial" w:hAnsi="Arial" w:eastAsia="Times New Roman" w:cs="Times New Roman"/>
          <w:lang w:val="en-GB" w:bidi="en-US"/>
        </w:rPr>
        <w:t xml:space="preserve">The </w:t>
      </w:r>
      <w:hyperlink w:history="1" r:id="rId17">
        <w:r w:rsidRPr="00E26D23">
          <w:rPr>
            <w:rStyle w:val="Hyperlink"/>
            <w:rFonts w:ascii="Arial" w:hAnsi="Arial" w:eastAsia="Times New Roman" w:cs="Times New Roman"/>
            <w:lang w:val="en-GB" w:bidi="en-US"/>
          </w:rPr>
          <w:t>following document</w:t>
        </w:r>
      </w:hyperlink>
      <w:r w:rsidRPr="00E26D23">
        <w:rPr>
          <w:rFonts w:ascii="Arial" w:hAnsi="Arial" w:eastAsia="Times New Roman" w:cs="Times New Roman"/>
          <w:lang w:val="en-GB" w:bidi="en-US"/>
        </w:rPr>
        <w:t xml:space="preserve"> which informed the assessment of this application are available on the FSANZ website:</w:t>
      </w:r>
    </w:p>
    <w:p w:rsidRPr="00E26D23" w:rsidR="00E26D23" w:rsidP="00E26D23" w:rsidRDefault="00E26D23" w14:paraId="2B08571D" w14:textId="77777777">
      <w:pPr>
        <w:widowControl w:val="0"/>
        <w:spacing w:after="0" w:line="240" w:lineRule="auto"/>
        <w:rPr>
          <w:rFonts w:ascii="Arial" w:hAnsi="Arial" w:eastAsia="Times New Roman" w:cs="Times New Roman"/>
          <w:lang w:val="en-GB" w:bidi="en-US"/>
        </w:rPr>
      </w:pPr>
    </w:p>
    <w:p w:rsidRPr="00E26D23" w:rsidR="00E26D23" w:rsidP="00EC2015" w:rsidRDefault="00E26D23" w14:paraId="58BEA25A" w14:textId="308AE0BE">
      <w:pPr>
        <w:widowControl w:val="0"/>
        <w:spacing w:after="0" w:line="240" w:lineRule="auto"/>
        <w:ind w:left="1134" w:hanging="1134"/>
        <w:rPr>
          <w:rFonts w:ascii="Arial" w:hAnsi="Arial" w:eastAsia="Times New Roman" w:cs="Times New Roman"/>
          <w:vanish/>
          <w:color w:val="FF0000"/>
          <w:szCs w:val="24"/>
          <w:lang w:val="en-GB" w:bidi="en-US"/>
        </w:rPr>
      </w:pPr>
      <w:r w:rsidRPr="00E26D23">
        <w:rPr>
          <w:rFonts w:ascii="Arial" w:hAnsi="Arial" w:eastAsia="Times New Roman" w:cs="Times New Roman"/>
          <w:szCs w:val="24"/>
          <w:lang w:val="en-GB" w:bidi="en-US"/>
        </w:rPr>
        <w:t>SD1</w:t>
      </w:r>
      <w:r w:rsidRPr="00E26D23">
        <w:rPr>
          <w:rFonts w:ascii="Arial" w:hAnsi="Arial" w:eastAsia="Times New Roman" w:cs="Times New Roman"/>
          <w:szCs w:val="24"/>
          <w:lang w:val="en-GB" w:bidi="en-US"/>
        </w:rPr>
        <w:tab/>
      </w:r>
      <w:r w:rsidRPr="00E26D23">
        <w:rPr>
          <w:rFonts w:ascii="Arial" w:hAnsi="Arial" w:eastAsia="Times New Roman" w:cs="Times New Roman"/>
          <w:szCs w:val="24"/>
          <w:lang w:val="en-GB" w:bidi="en-US"/>
        </w:rPr>
        <w:t>Risk and technical assessment</w:t>
      </w:r>
      <w:r w:rsidRPr="00E26D23">
        <w:rPr>
          <w:rFonts w:ascii="Arial" w:hAnsi="Arial" w:eastAsia="Times New Roman" w:cs="Times New Roman"/>
          <w:szCs w:val="24"/>
          <w:lang w:val="en-GB" w:bidi="en-US"/>
        </w:rPr>
        <w:br w:type="page"/>
      </w:r>
    </w:p>
    <w:p w:rsidRPr="00875D51" w:rsidR="00E26D23" w:rsidP="00875D51" w:rsidRDefault="00E26D23" w14:paraId="24672DD7" w14:textId="77777777">
      <w:pPr>
        <w:pStyle w:val="Heading1"/>
        <w:keepLines w:val="0"/>
        <w:widowControl w:val="0"/>
        <w:spacing w:after="240" w:line="240" w:lineRule="auto"/>
        <w:ind w:left="851" w:hanging="851"/>
        <w:rPr>
          <w:rFonts w:ascii="Arial" w:hAnsi="Arial" w:eastAsia="Times New Roman" w:cs="Times New Roman"/>
          <w:b/>
          <w:bCs/>
          <w:color w:val="auto"/>
          <w:sz w:val="36"/>
          <w:szCs w:val="28"/>
          <w:lang w:val="en-GB"/>
        </w:rPr>
      </w:pPr>
      <w:bookmarkStart w:name="_Toc286391001" w:id="1"/>
      <w:bookmarkStart w:name="_Toc300933414" w:id="2"/>
      <w:bookmarkStart w:name="_Toc370223463" w:id="3"/>
      <w:bookmarkStart w:name="_Toc110434579" w:id="4"/>
      <w:bookmarkStart w:name="_Toc11735627" w:id="5"/>
      <w:bookmarkStart w:name="_Toc29883110" w:id="6"/>
      <w:bookmarkStart w:name="_Toc41906797" w:id="7"/>
      <w:bookmarkStart w:name="_Toc41907544" w:id="8"/>
      <w:bookmarkStart w:name="_Toc120358575" w:id="9"/>
      <w:r w:rsidRPr="00875D51">
        <w:rPr>
          <w:rFonts w:ascii="Arial" w:hAnsi="Arial" w:eastAsia="Times New Roman" w:cs="Times New Roman"/>
          <w:b/>
          <w:bCs/>
          <w:color w:val="auto"/>
          <w:sz w:val="36"/>
          <w:szCs w:val="28"/>
          <w:lang w:val="en-GB"/>
        </w:rPr>
        <w:t>Executive summary</w:t>
      </w:r>
      <w:bookmarkEnd w:id="1"/>
      <w:bookmarkEnd w:id="2"/>
      <w:bookmarkEnd w:id="3"/>
      <w:bookmarkEnd w:id="4"/>
    </w:p>
    <w:p w:rsidRPr="006E74D4" w:rsidR="006E74D4" w:rsidP="7DF58A1D" w:rsidRDefault="006E74D4" w14:paraId="3346059F" w14:textId="2B07D5F3">
      <w:pPr>
        <w:rPr>
          <w:rFonts w:ascii="Arial" w:hAnsi="Arial" w:cs="Arial"/>
          <w:color w:val="FF0000"/>
          <w:lang w:val="en-AU"/>
        </w:rPr>
      </w:pPr>
      <w:r w:rsidRPr="68D721A2">
        <w:rPr>
          <w:rFonts w:ascii="Arial" w:hAnsi="Arial" w:cs="Arial"/>
          <w:lang w:val="en-AU"/>
        </w:rPr>
        <w:t xml:space="preserve">AB Enzymes </w:t>
      </w:r>
      <w:r w:rsidRPr="68D721A2" w:rsidR="00106CC7">
        <w:rPr>
          <w:rFonts w:ascii="Arial" w:hAnsi="Arial" w:cs="Arial"/>
        </w:rPr>
        <w:t>GmbH</w:t>
      </w:r>
      <w:r w:rsidRPr="68D721A2" w:rsidR="00106CC7">
        <w:rPr>
          <w:rFonts w:ascii="Arial" w:hAnsi="Arial" w:cs="Arial"/>
          <w:lang w:val="en-AU"/>
        </w:rPr>
        <w:t xml:space="preserve"> </w:t>
      </w:r>
      <w:r w:rsidRPr="68D721A2">
        <w:rPr>
          <w:rFonts w:ascii="Arial" w:hAnsi="Arial" w:cs="Arial"/>
          <w:lang w:val="en-AU"/>
        </w:rPr>
        <w:t xml:space="preserve">applied to Food Standards Australia New Zealand (FSANZ) to amend Schedule 18 – Processing Aids of the Australia New Zealand Food Standards Code to </w:t>
      </w:r>
      <w:r w:rsidRPr="68D721A2" w:rsidR="00180765">
        <w:rPr>
          <w:rFonts w:ascii="Arial" w:hAnsi="Arial" w:cs="Arial"/>
          <w:lang w:val="en-AU"/>
        </w:rPr>
        <w:t xml:space="preserve">permit </w:t>
      </w:r>
      <w:r w:rsidRPr="68D721A2">
        <w:rPr>
          <w:rFonts w:ascii="Arial" w:hAnsi="Arial" w:cs="Arial"/>
          <w:lang w:val="en-AU"/>
        </w:rPr>
        <w:t xml:space="preserve">thermomycolin (EC 3.4.21.65), a serine endopeptidase, as a processing aid to catalyse the </w:t>
      </w:r>
      <w:r w:rsidRPr="68D721A2" w:rsidR="00AE2B13">
        <w:rPr>
          <w:rFonts w:ascii="Arial" w:hAnsi="Arial" w:cs="Arial"/>
          <w:lang w:val="en-AU"/>
        </w:rPr>
        <w:t xml:space="preserve">hydrolysis of peptide bonds </w:t>
      </w:r>
      <w:r w:rsidRPr="68D721A2">
        <w:rPr>
          <w:rFonts w:ascii="Arial" w:hAnsi="Arial" w:cs="Arial"/>
          <w:lang w:val="en-AU"/>
        </w:rPr>
        <w:t xml:space="preserve">in </w:t>
      </w:r>
      <w:r w:rsidRPr="68D721A2">
        <w:rPr>
          <w:rFonts w:ascii="Arial" w:hAnsi="Arial" w:cs="Arial"/>
        </w:rPr>
        <w:t>the manufacture and/or processing of meat, vegetable and seafood products</w:t>
      </w:r>
      <w:r w:rsidRPr="68D721A2">
        <w:rPr>
          <w:rFonts w:ascii="Arial" w:hAnsi="Arial" w:cs="Arial"/>
          <w:lang w:val="en-AU"/>
        </w:rPr>
        <w:t xml:space="preserve">. The thermomycolin enzyme is </w:t>
      </w:r>
      <w:r w:rsidRPr="68D721A2">
        <w:rPr>
          <w:rFonts w:ascii="Arial" w:hAnsi="Arial" w:cs="Arial"/>
        </w:rPr>
        <w:t xml:space="preserve">produced from a genetically modified (GM) strain of </w:t>
      </w:r>
      <w:r w:rsidRPr="68D721A2">
        <w:rPr>
          <w:rFonts w:ascii="Arial" w:hAnsi="Arial" w:cs="Arial"/>
          <w:i/>
          <w:iCs/>
        </w:rPr>
        <w:t>Trichoderma reesei</w:t>
      </w:r>
      <w:r w:rsidRPr="68D721A2">
        <w:rPr>
          <w:rFonts w:ascii="Arial" w:hAnsi="Arial" w:cs="Arial"/>
        </w:rPr>
        <w:t xml:space="preserve"> </w:t>
      </w:r>
      <w:r w:rsidRPr="68D721A2" w:rsidR="00EC72EA">
        <w:rPr>
          <w:rFonts w:ascii="Arial" w:hAnsi="Arial" w:cs="Arial"/>
        </w:rPr>
        <w:t>(</w:t>
      </w:r>
      <w:r w:rsidRPr="68D721A2" w:rsidR="00EC72EA">
        <w:rPr>
          <w:rFonts w:ascii="Arial" w:hAnsi="Arial" w:cs="Arial"/>
          <w:i/>
          <w:iCs/>
          <w:lang w:val="en-AU"/>
        </w:rPr>
        <w:t>T. reesei</w:t>
      </w:r>
      <w:r w:rsidRPr="68D721A2" w:rsidR="00EC72EA">
        <w:rPr>
          <w:rFonts w:ascii="Arial" w:hAnsi="Arial" w:cs="Arial"/>
          <w:lang w:val="en-AU"/>
        </w:rPr>
        <w:t xml:space="preserve">) </w:t>
      </w:r>
      <w:r w:rsidRPr="68D721A2">
        <w:rPr>
          <w:rFonts w:ascii="Arial" w:hAnsi="Arial" w:cs="Arial"/>
        </w:rPr>
        <w:t xml:space="preserve">containing the </w:t>
      </w:r>
      <w:r w:rsidRPr="68D721A2">
        <w:rPr>
          <w:rFonts w:ascii="Arial" w:hAnsi="Arial" w:cs="Arial"/>
          <w:lang w:val="en-AU"/>
        </w:rPr>
        <w:t>thermomycolin</w:t>
      </w:r>
      <w:r w:rsidRPr="68D721A2">
        <w:rPr>
          <w:rFonts w:ascii="Arial" w:hAnsi="Arial" w:cs="Arial"/>
        </w:rPr>
        <w:t xml:space="preserve"> gene from </w:t>
      </w:r>
      <w:r w:rsidRPr="68D721A2">
        <w:rPr>
          <w:rFonts w:ascii="Arial" w:hAnsi="Arial" w:cs="Arial"/>
          <w:i/>
          <w:iCs/>
        </w:rPr>
        <w:t>Malbranchea cinnamomea (M. Cinnamomea)</w:t>
      </w:r>
      <w:r w:rsidRPr="68D721A2">
        <w:rPr>
          <w:rFonts w:ascii="Arial" w:hAnsi="Arial" w:cs="Arial"/>
          <w:i/>
          <w:iCs/>
          <w:color w:val="FF0000"/>
        </w:rPr>
        <w:t xml:space="preserve"> </w:t>
      </w:r>
    </w:p>
    <w:p w:rsidRPr="006E74D4" w:rsidR="006E74D4" w:rsidP="7CF8B2AD" w:rsidRDefault="006E74D4" w14:paraId="1828C79C" w14:textId="66041476">
      <w:pPr>
        <w:rPr>
          <w:rFonts w:ascii="Arial" w:hAnsi="Arial" w:cs="Arial"/>
          <w:lang w:val="en-AU"/>
        </w:rPr>
      </w:pPr>
      <w:r w:rsidRPr="7DF58A1D">
        <w:rPr>
          <w:rFonts w:ascii="Arial" w:hAnsi="Arial" w:cs="Arial"/>
          <w:lang w:val="en-AU"/>
        </w:rPr>
        <w:t>FSANZ undertook an assessment to determine whether the enzyme achieves its technological purpose in the quantity and form proposed to be used and to evaluate public health and safety concerns that may arise from its use.</w:t>
      </w:r>
    </w:p>
    <w:p w:rsidRPr="006E74D4" w:rsidR="006E74D4" w:rsidP="7CF8B2AD" w:rsidRDefault="006E74D4" w14:paraId="61DDBAE4" w14:textId="2C55E686">
      <w:pPr>
        <w:rPr>
          <w:rFonts w:ascii="Arial" w:hAnsi="Arial" w:cs="Arial"/>
          <w:lang w:val="en-AU"/>
        </w:rPr>
      </w:pPr>
      <w:r w:rsidRPr="7DF58A1D">
        <w:rPr>
          <w:rFonts w:ascii="Arial" w:hAnsi="Arial" w:cs="Arial"/>
          <w:lang w:val="en-AU"/>
        </w:rPr>
        <w:t xml:space="preserve">FSANZ </w:t>
      </w:r>
      <w:r w:rsidRPr="7DF58A1D" w:rsidR="00180765">
        <w:rPr>
          <w:rFonts w:ascii="Arial" w:hAnsi="Arial" w:cs="Arial"/>
          <w:lang w:val="en-AU"/>
        </w:rPr>
        <w:t xml:space="preserve">concluded </w:t>
      </w:r>
      <w:r w:rsidRPr="7DF58A1D">
        <w:rPr>
          <w:rFonts w:ascii="Arial" w:hAnsi="Arial" w:cs="Arial"/>
          <w:lang w:val="en-AU"/>
        </w:rPr>
        <w:t xml:space="preserve">that the proposed use of thermomycolin is consistent with its typical function of </w:t>
      </w:r>
      <w:r w:rsidRPr="7DF58A1D">
        <w:rPr>
          <w:rFonts w:ascii="Arial" w:hAnsi="Arial" w:cs="Arial"/>
        </w:rPr>
        <w:t>hydrolysing</w:t>
      </w:r>
      <w:r w:rsidRPr="7DF58A1D" w:rsidR="00AE2B13">
        <w:rPr>
          <w:rFonts w:ascii="Arial" w:hAnsi="Arial" w:cs="Arial"/>
        </w:rPr>
        <w:t xml:space="preserve"> peptide bonds</w:t>
      </w:r>
      <w:r w:rsidRPr="7DF58A1D">
        <w:rPr>
          <w:rFonts w:ascii="Arial" w:hAnsi="Arial" w:cs="Arial"/>
        </w:rPr>
        <w:t xml:space="preserve"> in those foods</w:t>
      </w:r>
      <w:r w:rsidRPr="7DF58A1D">
        <w:rPr>
          <w:rFonts w:ascii="Arial" w:hAnsi="Arial" w:cs="Arial"/>
          <w:lang w:val="en-AU"/>
        </w:rPr>
        <w:t>. Analysis of the evidence provided adequate assurance that the use of the enzyme, in the quantity and form proposed and consistent with Good Manufacturing Practice (GMP), is technologically justified.</w:t>
      </w:r>
    </w:p>
    <w:p w:rsidRPr="006E74D4" w:rsidR="006E74D4" w:rsidP="7CF8B2AD" w:rsidRDefault="006E74D4" w14:paraId="49C53B8C" w14:textId="72E2717A">
      <w:pPr>
        <w:rPr>
          <w:rFonts w:ascii="Arial" w:hAnsi="Arial" w:cs="Arial"/>
          <w:lang w:val="en-AU"/>
        </w:rPr>
      </w:pPr>
      <w:r w:rsidRPr="6022E17D">
        <w:rPr>
          <w:rFonts w:ascii="Arial" w:hAnsi="Arial" w:cs="Arial"/>
          <w:lang w:val="en-AU"/>
        </w:rPr>
        <w:t xml:space="preserve">Thermomycolin performs its technological purpose during the manufacture and/or processing of the nominated foods and is not performing a technological purpose in the final food, therefore functioning as a processing aid </w:t>
      </w:r>
      <w:r w:rsidRPr="6022E17D" w:rsidR="009D56CD">
        <w:rPr>
          <w:rFonts w:ascii="Arial" w:hAnsi="Arial" w:cs="Arial"/>
          <w:lang w:val="en-AU"/>
        </w:rPr>
        <w:t>for the purposes of</w:t>
      </w:r>
      <w:r w:rsidRPr="6022E17D">
        <w:rPr>
          <w:rFonts w:ascii="Arial" w:hAnsi="Arial" w:cs="Arial"/>
          <w:lang w:val="en-AU"/>
        </w:rPr>
        <w:t xml:space="preserve"> the Code. There are relevant identity and purity specifications for the enzyme in the Code. </w:t>
      </w:r>
    </w:p>
    <w:p w:rsidR="006E74D4" w:rsidP="7CF8B2AD" w:rsidRDefault="006E74D4" w14:paraId="06F856DD" w14:textId="10682742">
      <w:pPr>
        <w:rPr>
          <w:rFonts w:ascii="Arial" w:hAnsi="Arial" w:cs="Arial"/>
          <w:lang w:val="en-AU"/>
        </w:rPr>
      </w:pPr>
      <w:r w:rsidRPr="7DF58A1D">
        <w:rPr>
          <w:rFonts w:ascii="Arial" w:hAnsi="Arial" w:cs="Arial"/>
          <w:lang w:val="en-AU"/>
        </w:rPr>
        <w:t xml:space="preserve">A toxicological assessment combined with a dietary exposure assessment concluded the enzyme is safe under the proposed conditions of use. In the absence of any identifiable hazard, an acceptable daily intake ‘not specified’ is appropriate. </w:t>
      </w:r>
    </w:p>
    <w:p w:rsidR="00AA2539" w:rsidP="00AA2539" w:rsidRDefault="00AA2539" w14:paraId="5401858F" w14:textId="01DCF519">
      <w:pPr>
        <w:rPr>
          <w:rFonts w:ascii="Arial" w:hAnsi="Arial" w:cs="Arial"/>
          <w:lang w:val="en-AU"/>
        </w:rPr>
      </w:pPr>
      <w:r w:rsidRPr="5058D6E4">
        <w:rPr>
          <w:rFonts w:ascii="Arial" w:hAnsi="Arial" w:cs="Arial"/>
          <w:lang w:val="en-AU"/>
        </w:rPr>
        <w:t xml:space="preserve">Following assessment and the preparation of a draft variation, FSANZ called for submissions regarding the draft variation. </w:t>
      </w:r>
    </w:p>
    <w:p w:rsidRPr="00077D42" w:rsidR="00AA2539" w:rsidP="00AA2539" w:rsidRDefault="00AA2539" w14:paraId="683A6C93" w14:textId="1E414906">
      <w:pPr>
        <w:rPr>
          <w:rFonts w:ascii="Arial" w:hAnsi="Arial" w:cs="Arial"/>
          <w:lang w:val="en-AU"/>
        </w:rPr>
      </w:pPr>
      <w:r w:rsidRPr="5058D6E4">
        <w:rPr>
          <w:rFonts w:ascii="Arial" w:hAnsi="Arial" w:cs="Arial"/>
          <w:lang w:val="en-AU"/>
        </w:rPr>
        <w:t>FSANZ received two submissions – both of which were from government agencies supporting the draft variation.</w:t>
      </w:r>
    </w:p>
    <w:p w:rsidRPr="008A075F" w:rsidR="00E26D23" w:rsidP="7CF8B2AD" w:rsidRDefault="003970AB" w14:paraId="25564E19" w14:textId="376BF1B9">
      <w:pPr>
        <w:widowControl w:val="0"/>
        <w:spacing w:after="0" w:line="240" w:lineRule="auto"/>
        <w:rPr>
          <w:rFonts w:ascii="Arial" w:hAnsi="Arial" w:eastAsia="Times New Roman" w:cs="Arial"/>
          <w:lang w:val="en-GB"/>
        </w:rPr>
      </w:pPr>
      <w:r>
        <w:rPr>
          <w:rStyle w:val="normaltextrun"/>
          <w:rFonts w:ascii="Arial" w:hAnsi="Arial" w:cs="Arial"/>
          <w:color w:val="000000"/>
          <w:bdr w:val="none" w:color="auto" w:sz="0" w:space="0" w:frame="1"/>
        </w:rPr>
        <w:t>Based on the information above and on other relevant considerations set out in this report,</w:t>
      </w:r>
      <w:r>
        <w:rPr>
          <w:rFonts w:ascii="Arial" w:hAnsi="Arial" w:cs="Arial"/>
        </w:rPr>
        <w:t xml:space="preserve"> </w:t>
      </w:r>
      <w:r w:rsidRPr="346EAF37" w:rsidR="006E74D4">
        <w:rPr>
          <w:rFonts w:ascii="Arial" w:hAnsi="Arial" w:cs="Arial"/>
        </w:rPr>
        <w:t xml:space="preserve">FSANZ has </w:t>
      </w:r>
      <w:r w:rsidR="00D6420C">
        <w:rPr>
          <w:rFonts w:ascii="Arial" w:hAnsi="Arial" w:cs="Arial"/>
        </w:rPr>
        <w:t>approved</w:t>
      </w:r>
      <w:r w:rsidRPr="346EAF37" w:rsidR="006E74D4">
        <w:rPr>
          <w:rFonts w:ascii="Arial" w:hAnsi="Arial" w:cs="Arial"/>
        </w:rPr>
        <w:t xml:space="preserve"> a draft variation to the </w:t>
      </w:r>
      <w:r w:rsidRPr="346EAF37" w:rsidR="00DA33C7">
        <w:rPr>
          <w:rFonts w:ascii="Arial" w:hAnsi="Arial" w:cs="Arial"/>
          <w:lang w:val="en-AU"/>
        </w:rPr>
        <w:t>table to subsection S18—9(3) of</w:t>
      </w:r>
      <w:r w:rsidRPr="346EAF37" w:rsidR="00DA33C7">
        <w:rPr>
          <w:rFonts w:ascii="Arial" w:hAnsi="Arial" w:cs="Arial"/>
        </w:rPr>
        <w:t xml:space="preserve"> </w:t>
      </w:r>
      <w:r w:rsidRPr="346EAF37" w:rsidR="006E74D4">
        <w:rPr>
          <w:rFonts w:ascii="Arial" w:hAnsi="Arial" w:cs="Arial"/>
        </w:rPr>
        <w:t xml:space="preserve">Code </w:t>
      </w:r>
      <w:r w:rsidR="00DA33C7">
        <w:rPr>
          <w:rFonts w:ascii="Arial" w:hAnsi="Arial" w:cs="Arial"/>
        </w:rPr>
        <w:t>to permit the use of</w:t>
      </w:r>
      <w:r w:rsidRPr="346EAF37" w:rsidR="006E74D4">
        <w:rPr>
          <w:rFonts w:ascii="Arial" w:hAnsi="Arial" w:cs="Arial"/>
        </w:rPr>
        <w:t xml:space="preserve"> the enzyme</w:t>
      </w:r>
      <w:r w:rsidR="00A61132">
        <w:rPr>
          <w:rFonts w:ascii="Arial" w:hAnsi="Arial" w:cs="Arial"/>
        </w:rPr>
        <w:t>,</w:t>
      </w:r>
      <w:r w:rsidRPr="346EAF37" w:rsidR="006E74D4">
        <w:rPr>
          <w:rFonts w:ascii="Arial" w:hAnsi="Arial" w:cs="Arial"/>
        </w:rPr>
        <w:t xml:space="preserve"> </w:t>
      </w:r>
      <w:r w:rsidRPr="346EAF37" w:rsidR="006E74D4">
        <w:rPr>
          <w:rFonts w:ascii="Arial" w:hAnsi="Arial" w:cs="Arial"/>
          <w:lang w:val="en-AU"/>
        </w:rPr>
        <w:t>thermomycolin (EC 3.4.21.65)</w:t>
      </w:r>
      <w:r w:rsidR="00A61132">
        <w:rPr>
          <w:rFonts w:ascii="Arial" w:hAnsi="Arial" w:cs="Arial"/>
          <w:lang w:val="en-AU"/>
        </w:rPr>
        <w:t>,</w:t>
      </w:r>
      <w:r w:rsidRPr="346EAF37" w:rsidR="006E74D4">
        <w:rPr>
          <w:rFonts w:ascii="Arial" w:hAnsi="Arial" w:cs="Arial"/>
          <w:lang w:val="en-AU"/>
        </w:rPr>
        <w:t xml:space="preserve"> sourced from </w:t>
      </w:r>
      <w:r w:rsidRPr="7DF58A1D" w:rsidR="006E74D4">
        <w:rPr>
          <w:rFonts w:ascii="Arial" w:hAnsi="Arial" w:cs="Arial"/>
          <w:i/>
          <w:iCs/>
          <w:lang w:val="en-AU"/>
        </w:rPr>
        <w:t>T. reesei</w:t>
      </w:r>
      <w:r w:rsidRPr="346EAF37" w:rsidR="006E74D4">
        <w:rPr>
          <w:rFonts w:ascii="Arial" w:hAnsi="Arial" w:cs="Arial"/>
          <w:lang w:val="en-AU"/>
        </w:rPr>
        <w:t xml:space="preserve"> containing the thermomycolin gene from </w:t>
      </w:r>
      <w:r w:rsidRPr="7DF58A1D" w:rsidR="006E74D4">
        <w:rPr>
          <w:rFonts w:ascii="Arial" w:hAnsi="Arial" w:cs="Arial"/>
          <w:i/>
          <w:iCs/>
          <w:lang w:val="en-AU"/>
        </w:rPr>
        <w:t>M. cinnamomea</w:t>
      </w:r>
      <w:r w:rsidRPr="5058D6E4" w:rsidR="00A61132">
        <w:rPr>
          <w:rFonts w:ascii="Arial" w:hAnsi="Arial" w:cs="Arial"/>
          <w:lang w:val="en-AU"/>
        </w:rPr>
        <w:t>,</w:t>
      </w:r>
      <w:r w:rsidRPr="346EAF37" w:rsidR="006E74D4">
        <w:rPr>
          <w:rFonts w:ascii="Arial" w:hAnsi="Arial" w:cs="Arial"/>
          <w:lang w:val="en-AU"/>
        </w:rPr>
        <w:t xml:space="preserve"> as a processing aid</w:t>
      </w:r>
      <w:r w:rsidR="00F9799D">
        <w:rPr>
          <w:rFonts w:ascii="Arial" w:hAnsi="Arial" w:cs="Arial"/>
          <w:lang w:val="en-AU"/>
        </w:rPr>
        <w:t xml:space="preserve"> </w:t>
      </w:r>
      <w:r w:rsidRPr="346EAF37" w:rsidR="006E74D4">
        <w:rPr>
          <w:rFonts w:ascii="Arial" w:hAnsi="Arial" w:cs="Arial"/>
        </w:rPr>
        <w:t>to catalyse the hydrolysis of peptide bonds during</w:t>
      </w:r>
      <w:r w:rsidRPr="346EAF37" w:rsidR="006E74D4">
        <w:rPr>
          <w:rFonts w:ascii="Arial" w:hAnsi="Arial" w:cs="Arial"/>
          <w:lang w:val="en-AU"/>
        </w:rPr>
        <w:t xml:space="preserve"> the manufacture and/or processing of meat, vegetable and seafood products. This permission </w:t>
      </w:r>
      <w:r w:rsidR="00AF6FA6">
        <w:rPr>
          <w:rFonts w:ascii="Arial" w:hAnsi="Arial" w:cs="Arial"/>
          <w:lang w:val="en-AU"/>
        </w:rPr>
        <w:t>will be</w:t>
      </w:r>
      <w:r w:rsidRPr="346EAF37" w:rsidR="006E74D4">
        <w:rPr>
          <w:rFonts w:ascii="Arial" w:hAnsi="Arial" w:cs="Arial"/>
          <w:lang w:val="en-AU"/>
        </w:rPr>
        <w:t xml:space="preserve"> subject to the condition that </w:t>
      </w:r>
      <w:r w:rsidR="0019779E">
        <w:rPr>
          <w:rFonts w:ascii="Arial" w:hAnsi="Arial" w:cs="Arial"/>
          <w:lang w:val="en-AU"/>
        </w:rPr>
        <w:t xml:space="preserve">the </w:t>
      </w:r>
      <w:r w:rsidRPr="0019779E" w:rsidR="0019779E">
        <w:rPr>
          <w:rFonts w:ascii="Arial" w:hAnsi="Arial" w:cs="Arial"/>
          <w:lang w:val="en-AU"/>
        </w:rPr>
        <w:t xml:space="preserve">maximum permitted level or amount of this enzyme that may be present in the food </w:t>
      </w:r>
      <w:r w:rsidRPr="346EAF37" w:rsidR="006E74D4">
        <w:rPr>
          <w:rFonts w:ascii="Arial" w:hAnsi="Arial" w:cs="Arial"/>
          <w:lang w:val="en-AU"/>
        </w:rPr>
        <w:t>must be consistent with GMP.</w:t>
      </w:r>
      <w:r w:rsidR="00A61132">
        <w:rPr>
          <w:rFonts w:ascii="Arial" w:hAnsi="Arial" w:cs="Arial"/>
          <w:lang w:val="en-AU"/>
        </w:rPr>
        <w:t xml:space="preserve"> </w:t>
      </w:r>
      <w:r w:rsidR="00A61132">
        <w:rPr>
          <w:rStyle w:val="normaltextrun"/>
          <w:rFonts w:ascii="Arial" w:hAnsi="Arial" w:cs="Arial"/>
          <w:color w:val="000000"/>
          <w:bdr w:val="none" w:color="auto" w:sz="0" w:space="0" w:frame="1"/>
        </w:rPr>
        <w:t>The effect of the approved draft variation is to permit the proposed use of this enzyme as a processing aid in accordance with the Code</w:t>
      </w:r>
      <w:r w:rsidR="00106CC7">
        <w:rPr>
          <w:rStyle w:val="normaltextrun"/>
          <w:rFonts w:ascii="Arial" w:hAnsi="Arial" w:cs="Arial"/>
          <w:color w:val="000000"/>
          <w:bdr w:val="none" w:color="auto" w:sz="0" w:space="0" w:frame="1"/>
        </w:rPr>
        <w:t>.</w:t>
      </w:r>
    </w:p>
    <w:p w:rsidRPr="00E26D23" w:rsidR="00E26D23" w:rsidP="00E26D23" w:rsidRDefault="00E26D23" w14:paraId="7AFEE960" w14:textId="77777777">
      <w:pPr>
        <w:keepNext/>
        <w:widowControl w:val="0"/>
        <w:spacing w:before="240" w:after="240" w:line="240" w:lineRule="auto"/>
        <w:ind w:left="851" w:hanging="851"/>
        <w:outlineLvl w:val="0"/>
        <w:rPr>
          <w:rFonts w:ascii="Arial" w:hAnsi="Arial" w:eastAsia="Times New Roman" w:cs="Times New Roman"/>
          <w:b/>
          <w:bCs/>
          <w:sz w:val="36"/>
          <w:szCs w:val="28"/>
          <w:lang w:val="en-GB"/>
        </w:rPr>
      </w:pPr>
      <w:r w:rsidRPr="00E26D23">
        <w:rPr>
          <w:rFonts w:ascii="Arial" w:hAnsi="Arial" w:eastAsia="Times New Roman" w:cs="Times New Roman"/>
          <w:b/>
          <w:bCs/>
          <w:sz w:val="36"/>
          <w:szCs w:val="28"/>
          <w:lang w:val="en-GB"/>
        </w:rPr>
        <w:br w:type="page"/>
      </w:r>
    </w:p>
    <w:p w:rsidRPr="00395209" w:rsidR="00E26D23" w:rsidP="00395209" w:rsidRDefault="00E26D23" w14:paraId="204BEEFB" w14:textId="77777777">
      <w:pPr>
        <w:pStyle w:val="Heading1"/>
        <w:keepLines w:val="0"/>
        <w:widowControl w:val="0"/>
        <w:spacing w:after="240" w:line="240" w:lineRule="auto"/>
        <w:ind w:left="851" w:hanging="851"/>
        <w:rPr>
          <w:rFonts w:ascii="Arial" w:hAnsi="Arial" w:eastAsia="Times New Roman" w:cs="Times New Roman"/>
          <w:b/>
          <w:bCs/>
          <w:color w:val="auto"/>
          <w:sz w:val="36"/>
          <w:szCs w:val="28"/>
          <w:lang w:val="en-GB"/>
        </w:rPr>
      </w:pPr>
      <w:bookmarkStart w:name="_Toc300933417" w:id="10"/>
      <w:bookmarkStart w:name="_Toc370223464" w:id="11"/>
      <w:bookmarkStart w:name="_Toc110434580" w:id="12"/>
      <w:r w:rsidRPr="00395209">
        <w:rPr>
          <w:rFonts w:ascii="Arial" w:hAnsi="Arial" w:eastAsia="Times New Roman" w:cs="Times New Roman"/>
          <w:b/>
          <w:bCs/>
          <w:color w:val="auto"/>
          <w:sz w:val="36"/>
          <w:szCs w:val="28"/>
          <w:lang w:val="en-GB"/>
        </w:rPr>
        <w:lastRenderedPageBreak/>
        <w:t>1</w:t>
      </w:r>
      <w:r w:rsidRPr="00395209">
        <w:rPr>
          <w:rFonts w:ascii="Arial" w:hAnsi="Arial" w:eastAsia="Times New Roman" w:cs="Times New Roman"/>
          <w:b/>
          <w:bCs/>
          <w:color w:val="auto"/>
          <w:sz w:val="36"/>
          <w:szCs w:val="28"/>
          <w:lang w:val="en-GB"/>
        </w:rPr>
        <w:tab/>
      </w:r>
      <w:r w:rsidRPr="00395209">
        <w:rPr>
          <w:rFonts w:ascii="Arial" w:hAnsi="Arial" w:eastAsia="Times New Roman" w:cs="Times New Roman"/>
          <w:b/>
          <w:bCs/>
          <w:color w:val="auto"/>
          <w:sz w:val="36"/>
          <w:szCs w:val="28"/>
          <w:lang w:val="en-GB"/>
        </w:rPr>
        <w:t>Introduction</w:t>
      </w:r>
      <w:bookmarkEnd w:id="10"/>
      <w:bookmarkEnd w:id="11"/>
      <w:bookmarkEnd w:id="12"/>
    </w:p>
    <w:p w:rsidRPr="00875D51" w:rsidR="00E26D23" w:rsidP="00875D51" w:rsidRDefault="00E26D23" w14:paraId="1C1BC444" w14:textId="59661944">
      <w:pPr>
        <w:pStyle w:val="Heading3"/>
        <w:rPr>
          <w:rFonts w:eastAsiaTheme="majorEastAsia"/>
        </w:rPr>
      </w:pPr>
      <w:bookmarkStart w:name="_Toc300761890" w:id="13"/>
      <w:bookmarkStart w:name="_Toc110434581" w:id="14"/>
      <w:bookmarkStart w:name="_Toc300933419" w:id="15"/>
      <w:bookmarkStart w:name="_Toc370223465" w:id="16"/>
      <w:r w:rsidRPr="00875D51">
        <w:rPr>
          <w:rFonts w:eastAsiaTheme="majorEastAsia"/>
        </w:rPr>
        <w:t>1.1</w:t>
      </w:r>
      <w:r w:rsidRPr="00875D51">
        <w:rPr>
          <w:rFonts w:eastAsiaTheme="majorEastAsia"/>
        </w:rPr>
        <w:tab/>
      </w:r>
      <w:r w:rsidRPr="00875D51">
        <w:rPr>
          <w:rFonts w:eastAsiaTheme="majorEastAsia"/>
        </w:rPr>
        <w:t>The Applicant</w:t>
      </w:r>
      <w:bookmarkEnd w:id="13"/>
      <w:bookmarkEnd w:id="14"/>
      <w:r w:rsidRPr="00875D51">
        <w:rPr>
          <w:rFonts w:eastAsiaTheme="majorEastAsia"/>
        </w:rPr>
        <w:t xml:space="preserve"> </w:t>
      </w:r>
      <w:bookmarkEnd w:id="15"/>
      <w:bookmarkEnd w:id="16"/>
    </w:p>
    <w:p w:rsidRPr="0020726F" w:rsidR="00A208A1" w:rsidP="00A208A1" w:rsidRDefault="00A208A1" w14:paraId="1B5F97DB" w14:textId="08E81357">
      <w:pPr>
        <w:rPr>
          <w:rFonts w:ascii="Arial" w:hAnsi="Arial" w:cs="Arial"/>
        </w:rPr>
      </w:pPr>
      <w:bookmarkStart w:name="_Toc300761891" w:id="17"/>
      <w:bookmarkStart w:name="_Toc300933420" w:id="18"/>
      <w:bookmarkStart w:name="_Toc370223466" w:id="19"/>
      <w:r w:rsidRPr="5058D6E4">
        <w:rPr>
          <w:rFonts w:ascii="Arial" w:hAnsi="Arial" w:cs="Arial"/>
        </w:rPr>
        <w:t>The applicant is AB Enzymes GmbH</w:t>
      </w:r>
      <w:r w:rsidRPr="5058D6E4" w:rsidR="007D5DD4">
        <w:rPr>
          <w:rFonts w:ascii="Arial" w:hAnsi="Arial" w:cs="Arial"/>
        </w:rPr>
        <w:t xml:space="preserve"> (AB Enzymes)</w:t>
      </w:r>
      <w:r w:rsidRPr="5058D6E4">
        <w:rPr>
          <w:rFonts w:ascii="Arial" w:hAnsi="Arial" w:cs="Arial"/>
        </w:rPr>
        <w:t>, an industrial biotech company that develops enzyme products for food, animal feed and technical applications.</w:t>
      </w:r>
    </w:p>
    <w:p w:rsidRPr="00875D51" w:rsidR="00E26D23" w:rsidP="00875D51" w:rsidRDefault="00E26D23" w14:paraId="25981011" w14:textId="27714963">
      <w:pPr>
        <w:pStyle w:val="Heading3"/>
        <w:rPr>
          <w:rFonts w:eastAsiaTheme="majorEastAsia"/>
        </w:rPr>
      </w:pPr>
      <w:bookmarkStart w:name="_Toc110434582" w:id="20"/>
      <w:r w:rsidRPr="00875D51">
        <w:rPr>
          <w:rFonts w:eastAsiaTheme="majorEastAsia"/>
        </w:rPr>
        <w:t>1.2</w:t>
      </w:r>
      <w:r w:rsidRPr="00875D51">
        <w:rPr>
          <w:rFonts w:eastAsiaTheme="majorEastAsia"/>
        </w:rPr>
        <w:tab/>
      </w:r>
      <w:r w:rsidRPr="00875D51">
        <w:rPr>
          <w:rFonts w:eastAsiaTheme="majorEastAsia"/>
        </w:rPr>
        <w:t>The Application</w:t>
      </w:r>
      <w:bookmarkEnd w:id="17"/>
      <w:bookmarkEnd w:id="18"/>
      <w:bookmarkEnd w:id="19"/>
      <w:bookmarkEnd w:id="20"/>
    </w:p>
    <w:p w:rsidRPr="00AB4622" w:rsidR="0020726F" w:rsidP="0020726F" w:rsidRDefault="00597C79" w14:paraId="1B7FB1C9" w14:textId="02839A9A">
      <w:pPr>
        <w:rPr>
          <w:rFonts w:ascii="Arial" w:hAnsi="Arial" w:cs="Arial"/>
        </w:rPr>
      </w:pPr>
      <w:bookmarkStart w:name="_Toc300761892" w:id="21"/>
      <w:bookmarkStart w:name="_Toc300933421" w:id="22"/>
      <w:bookmarkStart w:name="_Toc370223467" w:id="23"/>
      <w:r w:rsidRPr="7DF58A1D">
        <w:rPr>
          <w:rFonts w:ascii="Arial" w:hAnsi="Arial" w:eastAsia="Calibri" w:cs="Arial"/>
          <w:lang w:eastAsia="en-AU"/>
        </w:rPr>
        <w:t>The purpose of the</w:t>
      </w:r>
      <w:r w:rsidRPr="7DF58A1D" w:rsidR="0020726F">
        <w:rPr>
          <w:rFonts w:ascii="Arial" w:hAnsi="Arial" w:eastAsia="Calibri" w:cs="Arial"/>
          <w:lang w:eastAsia="en-AU"/>
        </w:rPr>
        <w:t xml:space="preserve"> application </w:t>
      </w:r>
      <w:r w:rsidRPr="7DF58A1D">
        <w:rPr>
          <w:rFonts w:ascii="Arial" w:hAnsi="Arial" w:eastAsia="Calibri" w:cs="Arial"/>
          <w:lang w:eastAsia="en-AU"/>
        </w:rPr>
        <w:t xml:space="preserve">is </w:t>
      </w:r>
      <w:r w:rsidRPr="7DF58A1D" w:rsidR="0020726F">
        <w:rPr>
          <w:rFonts w:ascii="Arial" w:hAnsi="Arial" w:eastAsia="Calibri" w:cs="Arial"/>
          <w:lang w:eastAsia="en-AU"/>
        </w:rPr>
        <w:t>to amend the Australia New Zealand Food Standards Code (the Code) to permit the use of the enzyme</w:t>
      </w:r>
      <w:r w:rsidRPr="7DF58A1D" w:rsidR="0020726F">
        <w:rPr>
          <w:rFonts w:ascii="Arial" w:hAnsi="Arial" w:cs="Arial"/>
          <w:lang w:val="en-AU"/>
        </w:rPr>
        <w:t xml:space="preserve"> </w:t>
      </w:r>
      <w:r w:rsidRPr="7DF58A1D" w:rsidR="0020726F">
        <w:rPr>
          <w:rFonts w:ascii="Arial" w:hAnsi="Arial" w:cs="Arial"/>
        </w:rPr>
        <w:t xml:space="preserve">thermomycolin (EC 3.4.21.65), a serine endopeptidase, </w:t>
      </w:r>
      <w:r w:rsidRPr="7DF58A1D" w:rsidR="0020726F">
        <w:rPr>
          <w:rFonts w:ascii="Arial" w:hAnsi="Arial" w:cs="Arial"/>
          <w:lang w:val="en-AU"/>
        </w:rPr>
        <w:t xml:space="preserve">as a processing aid </w:t>
      </w:r>
      <w:r w:rsidRPr="7DF58A1D" w:rsidR="0020726F">
        <w:rPr>
          <w:rFonts w:ascii="Arial" w:hAnsi="Arial" w:cs="Arial"/>
        </w:rPr>
        <w:t xml:space="preserve">to catalyse the </w:t>
      </w:r>
      <w:r w:rsidRPr="7DF58A1D" w:rsidR="007C2A50">
        <w:rPr>
          <w:rFonts w:ascii="Arial" w:hAnsi="Arial" w:cs="Arial"/>
        </w:rPr>
        <w:t xml:space="preserve">hydrolysis of peptide bonds in </w:t>
      </w:r>
      <w:r w:rsidRPr="7DF58A1D" w:rsidR="0020726F">
        <w:rPr>
          <w:rFonts w:ascii="Arial" w:hAnsi="Arial" w:cs="Arial"/>
        </w:rPr>
        <w:t>the manufacture and/or processing of meat, vegetable and seafood products</w:t>
      </w:r>
      <w:r w:rsidRPr="7DF58A1D" w:rsidR="0020726F">
        <w:rPr>
          <w:rFonts w:ascii="Arial" w:hAnsi="Arial" w:cs="Arial"/>
          <w:lang w:val="en-AU"/>
        </w:rPr>
        <w:t xml:space="preserve">. </w:t>
      </w:r>
      <w:r w:rsidRPr="7DF58A1D" w:rsidR="0020726F">
        <w:rPr>
          <w:rFonts w:ascii="Arial" w:hAnsi="Arial" w:eastAsia="Calibri" w:cs="Arial"/>
          <w:lang w:eastAsia="en-AU"/>
        </w:rPr>
        <w:t xml:space="preserve">The enzyme is produced from </w:t>
      </w:r>
      <w:r w:rsidRPr="7DF58A1D" w:rsidR="0020726F">
        <w:rPr>
          <w:rFonts w:ascii="Arial" w:hAnsi="Arial" w:cs="Arial"/>
        </w:rPr>
        <w:t>a genetically modified (GM) strain</w:t>
      </w:r>
      <w:r w:rsidRPr="7DF58A1D" w:rsidR="0020726F">
        <w:rPr>
          <w:rFonts w:ascii="Arial" w:hAnsi="Arial" w:eastAsia="Calibri" w:cs="Arial"/>
          <w:lang w:eastAsia="en-AU"/>
        </w:rPr>
        <w:t xml:space="preserve"> of </w:t>
      </w:r>
      <w:r w:rsidRPr="7DF58A1D" w:rsidR="0020726F">
        <w:rPr>
          <w:rFonts w:ascii="Arial" w:hAnsi="Arial" w:eastAsia="Calibri" w:cs="Arial"/>
          <w:i/>
          <w:iCs/>
          <w:lang w:eastAsia="en-AU"/>
        </w:rPr>
        <w:t>Trichoderma reesei</w:t>
      </w:r>
      <w:r w:rsidRPr="7DF58A1D" w:rsidR="0020726F">
        <w:rPr>
          <w:rFonts w:ascii="Arial" w:hAnsi="Arial" w:cs="Arial"/>
        </w:rPr>
        <w:t xml:space="preserve"> </w:t>
      </w:r>
      <w:r w:rsidRPr="7DF58A1D" w:rsidR="007D5DD4">
        <w:rPr>
          <w:rFonts w:ascii="Arial" w:hAnsi="Arial" w:cs="Arial"/>
        </w:rPr>
        <w:t>(</w:t>
      </w:r>
      <w:r w:rsidRPr="7DF58A1D" w:rsidR="007D5DD4">
        <w:rPr>
          <w:rFonts w:ascii="Arial" w:hAnsi="Arial" w:eastAsia="Calibri" w:cs="Arial"/>
          <w:i/>
          <w:iCs/>
          <w:lang w:eastAsia="en-AU"/>
        </w:rPr>
        <w:t>T. reesei</w:t>
      </w:r>
      <w:r w:rsidRPr="7DF58A1D" w:rsidR="007D5DD4">
        <w:rPr>
          <w:rFonts w:ascii="Arial" w:hAnsi="Arial" w:cs="Arial"/>
        </w:rPr>
        <w:t xml:space="preserve">) </w:t>
      </w:r>
      <w:r w:rsidRPr="7DF58A1D" w:rsidR="0020726F">
        <w:rPr>
          <w:rFonts w:ascii="Arial" w:hAnsi="Arial" w:cs="Arial"/>
        </w:rPr>
        <w:t xml:space="preserve">containing the thermomycolin gene from </w:t>
      </w:r>
      <w:r w:rsidRPr="7DF58A1D" w:rsidR="0020726F">
        <w:rPr>
          <w:rFonts w:ascii="Arial" w:hAnsi="Arial" w:cs="Arial"/>
          <w:i/>
          <w:iCs/>
        </w:rPr>
        <w:t>Malbranchea cinnamomea</w:t>
      </w:r>
      <w:r w:rsidRPr="7DF58A1D" w:rsidR="007D5DD4">
        <w:rPr>
          <w:rFonts w:ascii="Arial" w:hAnsi="Arial" w:cs="Arial"/>
        </w:rPr>
        <w:t xml:space="preserve"> (</w:t>
      </w:r>
      <w:r w:rsidRPr="7DF58A1D" w:rsidR="007D5DD4">
        <w:rPr>
          <w:rFonts w:ascii="Arial" w:hAnsi="Arial" w:cs="Arial"/>
          <w:i/>
          <w:iCs/>
        </w:rPr>
        <w:t>M. cinnamomea</w:t>
      </w:r>
      <w:r w:rsidRPr="7DF58A1D" w:rsidR="007D5DD4">
        <w:rPr>
          <w:rFonts w:ascii="Arial" w:hAnsi="Arial" w:cs="Arial"/>
        </w:rPr>
        <w:t>)</w:t>
      </w:r>
      <w:r w:rsidRPr="7DF58A1D" w:rsidR="0020726F">
        <w:rPr>
          <w:rFonts w:ascii="Arial" w:hAnsi="Arial" w:cs="Arial"/>
          <w:i/>
          <w:iCs/>
        </w:rPr>
        <w:t xml:space="preserve">. </w:t>
      </w:r>
      <w:r w:rsidRPr="7DF58A1D" w:rsidR="0020726F">
        <w:rPr>
          <w:rFonts w:ascii="Arial" w:hAnsi="Arial" w:cs="Arial"/>
        </w:rPr>
        <w:t xml:space="preserve">The specific name for the production organism is </w:t>
      </w:r>
      <w:r w:rsidRPr="7DF58A1D" w:rsidR="0020726F">
        <w:rPr>
          <w:rFonts w:ascii="Arial" w:hAnsi="Arial" w:cs="Arial"/>
          <w:i/>
          <w:iCs/>
        </w:rPr>
        <w:t>T. reesei</w:t>
      </w:r>
      <w:r w:rsidRPr="7DF58A1D" w:rsidR="0020726F">
        <w:rPr>
          <w:rFonts w:ascii="Arial" w:hAnsi="Arial" w:cs="Arial"/>
        </w:rPr>
        <w:t xml:space="preserve"> RF8963. </w:t>
      </w:r>
    </w:p>
    <w:p w:rsidRPr="00D30F8A" w:rsidR="0020726F" w:rsidP="0020726F" w:rsidRDefault="0020726F" w14:paraId="0CD42C29" w14:textId="6D936573">
      <w:pPr>
        <w:pStyle w:val="Default"/>
        <w:rPr>
          <w:rFonts w:eastAsia="Calibri"/>
          <w:lang w:eastAsia="en-AU"/>
        </w:rPr>
      </w:pPr>
      <w:r>
        <w:rPr>
          <w:rFonts w:ascii="Arial" w:hAnsi="Arial" w:cs="Arial"/>
          <w:color w:val="auto"/>
          <w:sz w:val="22"/>
          <w:szCs w:val="22"/>
        </w:rPr>
        <w:t>AB Enzymes’</w:t>
      </w:r>
      <w:r w:rsidRPr="00AB4622">
        <w:rPr>
          <w:rFonts w:ascii="Arial" w:hAnsi="Arial" w:cs="Arial"/>
          <w:color w:val="auto"/>
          <w:sz w:val="22"/>
          <w:szCs w:val="22"/>
        </w:rPr>
        <w:t xml:space="preserve"> thermomycolin </w:t>
      </w:r>
      <w:r>
        <w:rPr>
          <w:rFonts w:ascii="Arial" w:hAnsi="Arial" w:cs="Arial"/>
          <w:color w:val="auto"/>
          <w:sz w:val="22"/>
          <w:szCs w:val="22"/>
        </w:rPr>
        <w:t xml:space="preserve">is thermotolerant and </w:t>
      </w:r>
      <w:r w:rsidRPr="00AC3A80">
        <w:rPr>
          <w:rFonts w:ascii="Arial" w:hAnsi="Arial" w:cs="Arial"/>
          <w:color w:val="auto"/>
          <w:sz w:val="22"/>
          <w:szCs w:val="22"/>
        </w:rPr>
        <w:t xml:space="preserve">suitable for catalysing the hydrolysis of peptide bonds </w:t>
      </w:r>
      <w:r>
        <w:rPr>
          <w:rFonts w:ascii="Arial" w:hAnsi="Arial" w:cs="Arial"/>
          <w:color w:val="auto"/>
          <w:sz w:val="22"/>
          <w:szCs w:val="22"/>
        </w:rPr>
        <w:t xml:space="preserve">under </w:t>
      </w:r>
      <w:r w:rsidRPr="00AB4622">
        <w:rPr>
          <w:rFonts w:ascii="Arial" w:hAnsi="Arial" w:cs="Arial"/>
          <w:color w:val="auto"/>
          <w:sz w:val="22"/>
          <w:szCs w:val="22"/>
        </w:rPr>
        <w:t>mildly alkaline conditions</w:t>
      </w:r>
      <w:r>
        <w:rPr>
          <w:rFonts w:ascii="Arial" w:hAnsi="Arial" w:cs="Arial"/>
          <w:color w:val="auto"/>
          <w:sz w:val="22"/>
          <w:szCs w:val="22"/>
        </w:rPr>
        <w:t>. It functions during</w:t>
      </w:r>
      <w:r w:rsidRPr="00AB4622">
        <w:rPr>
          <w:rFonts w:ascii="Arial" w:hAnsi="Arial" w:cs="Arial"/>
          <w:color w:val="auto"/>
          <w:sz w:val="22"/>
          <w:szCs w:val="22"/>
        </w:rPr>
        <w:t xml:space="preserve"> the manufacture </w:t>
      </w:r>
      <w:r>
        <w:rPr>
          <w:rFonts w:ascii="Arial" w:hAnsi="Arial" w:cs="Arial"/>
          <w:color w:val="auto"/>
          <w:sz w:val="22"/>
          <w:szCs w:val="22"/>
        </w:rPr>
        <w:t xml:space="preserve">and/or processing </w:t>
      </w:r>
      <w:r w:rsidRPr="00AB4622">
        <w:rPr>
          <w:rFonts w:ascii="Arial" w:hAnsi="Arial" w:cs="Arial"/>
          <w:color w:val="auto"/>
          <w:sz w:val="22"/>
          <w:szCs w:val="22"/>
        </w:rPr>
        <w:t xml:space="preserve">of vegetable and animal protein hydrolysates including meat, poultry and game products, vegetable products </w:t>
      </w:r>
      <w:r>
        <w:rPr>
          <w:rFonts w:ascii="Arial" w:hAnsi="Arial" w:cs="Arial"/>
          <w:color w:val="auto"/>
          <w:sz w:val="22"/>
          <w:szCs w:val="22"/>
        </w:rPr>
        <w:t xml:space="preserve">and </w:t>
      </w:r>
      <w:r w:rsidRPr="00AB4622">
        <w:rPr>
          <w:rFonts w:ascii="Arial" w:hAnsi="Arial" w:cs="Arial"/>
          <w:color w:val="auto"/>
          <w:sz w:val="22"/>
          <w:szCs w:val="22"/>
        </w:rPr>
        <w:t xml:space="preserve">fish and seafood products. </w:t>
      </w:r>
      <w:r w:rsidRPr="0099556B">
        <w:rPr>
          <w:rFonts w:ascii="Arial" w:hAnsi="Arial" w:cs="Arial"/>
          <w:color w:val="auto"/>
          <w:sz w:val="22"/>
          <w:szCs w:val="22"/>
        </w:rPr>
        <w:t>The enzyme will be m</w:t>
      </w:r>
      <w:r w:rsidRPr="0099556B">
        <w:rPr>
          <w:rFonts w:ascii="Arial" w:hAnsi="Arial" w:cs="Arial"/>
          <w:sz w:val="22"/>
          <w:szCs w:val="22"/>
        </w:rPr>
        <w:t xml:space="preserve">arketed </w:t>
      </w:r>
      <w:r>
        <w:rPr>
          <w:rFonts w:ascii="Arial" w:hAnsi="Arial" w:cs="Arial"/>
          <w:sz w:val="22"/>
          <w:szCs w:val="22"/>
        </w:rPr>
        <w:t>as</w:t>
      </w:r>
      <w:r w:rsidRPr="0099556B">
        <w:rPr>
          <w:rFonts w:ascii="Arial" w:hAnsi="Arial" w:cs="Arial"/>
          <w:sz w:val="22"/>
          <w:szCs w:val="22"/>
        </w:rPr>
        <w:t xml:space="preserve"> a</w:t>
      </w:r>
      <w:r>
        <w:rPr>
          <w:rFonts w:ascii="Arial" w:hAnsi="Arial" w:cs="Arial"/>
          <w:sz w:val="22"/>
          <w:szCs w:val="22"/>
        </w:rPr>
        <w:t xml:space="preserve"> liquid</w:t>
      </w:r>
      <w:r w:rsidRPr="0099556B">
        <w:rPr>
          <w:rFonts w:ascii="Arial" w:hAnsi="Arial" w:cs="Arial"/>
          <w:sz w:val="22"/>
          <w:szCs w:val="22"/>
        </w:rPr>
        <w:t xml:space="preserve"> enzyme preparati</w:t>
      </w:r>
      <w:r w:rsidR="00B35035">
        <w:rPr>
          <w:rFonts w:ascii="Arial" w:hAnsi="Arial" w:cs="Arial"/>
          <w:sz w:val="22"/>
          <w:szCs w:val="22"/>
        </w:rPr>
        <w:t>on with the trade name COROLASE</w:t>
      </w:r>
      <w:r w:rsidRPr="0099556B">
        <w:rPr>
          <w:rFonts w:ascii="Arial" w:hAnsi="Arial" w:cs="Arial"/>
          <w:sz w:val="22"/>
          <w:szCs w:val="22"/>
        </w:rPr>
        <w:t xml:space="preserve"> 8000.</w:t>
      </w:r>
    </w:p>
    <w:p w:rsidRPr="00875D51" w:rsidR="00E26D23" w:rsidP="00875D51" w:rsidRDefault="00E26D23" w14:paraId="6D7771BB" w14:textId="77777777">
      <w:pPr>
        <w:pStyle w:val="Heading3"/>
        <w:rPr>
          <w:rFonts w:eastAsiaTheme="majorEastAsia"/>
        </w:rPr>
      </w:pPr>
      <w:bookmarkStart w:name="_Toc110434583" w:id="24"/>
      <w:r w:rsidRPr="00875D51">
        <w:rPr>
          <w:rFonts w:eastAsiaTheme="majorEastAsia"/>
        </w:rPr>
        <w:t>1.3</w:t>
      </w:r>
      <w:r w:rsidRPr="00875D51">
        <w:rPr>
          <w:rFonts w:eastAsiaTheme="majorEastAsia"/>
        </w:rPr>
        <w:tab/>
      </w:r>
      <w:r w:rsidRPr="00875D51">
        <w:rPr>
          <w:rFonts w:eastAsiaTheme="majorEastAsia"/>
        </w:rPr>
        <w:t>The current Standard</w:t>
      </w:r>
      <w:bookmarkEnd w:id="21"/>
      <w:bookmarkEnd w:id="22"/>
      <w:bookmarkEnd w:id="23"/>
      <w:bookmarkEnd w:id="24"/>
    </w:p>
    <w:p w:rsidR="00E26D23" w:rsidP="0020726F" w:rsidRDefault="0020726F" w14:paraId="1A530859" w14:textId="156D5086">
      <w:pPr>
        <w:rPr>
          <w:rFonts w:ascii="Arial" w:hAnsi="Arial" w:cs="Arial"/>
        </w:rPr>
      </w:pPr>
      <w:r w:rsidRPr="7DF58A1D">
        <w:rPr>
          <w:rFonts w:ascii="Arial" w:hAnsi="Arial" w:cs="Arial"/>
        </w:rPr>
        <w:t>Australian and New Zealand food laws require food for sale to comply with relevant requirements in the Code. The requirements relevant to this application are summarised below.</w:t>
      </w:r>
    </w:p>
    <w:p w:rsidRPr="00A05EC6" w:rsidR="0020726F" w:rsidP="00A05EC6" w:rsidRDefault="0020726F" w14:paraId="36E4FEEE" w14:textId="77777777">
      <w:pPr>
        <w:pStyle w:val="Heading3"/>
        <w:rPr>
          <w:rFonts w:eastAsiaTheme="majorEastAsia"/>
          <w:i/>
        </w:rPr>
      </w:pPr>
      <w:bookmarkStart w:name="_Toc101261719" w:id="25"/>
      <w:bookmarkStart w:name="_Toc110434584" w:id="26"/>
      <w:r w:rsidRPr="00A05EC6">
        <w:rPr>
          <w:rFonts w:eastAsiaTheme="majorEastAsia"/>
          <w:i/>
        </w:rPr>
        <w:t>1.3.1</w:t>
      </w:r>
      <w:r w:rsidRPr="00A05EC6">
        <w:rPr>
          <w:rFonts w:eastAsiaTheme="majorEastAsia"/>
          <w:i/>
        </w:rPr>
        <w:tab/>
      </w:r>
      <w:r w:rsidRPr="00A05EC6">
        <w:rPr>
          <w:rFonts w:eastAsiaTheme="majorEastAsia"/>
          <w:i/>
        </w:rPr>
        <w:t>Permitted use</w:t>
      </w:r>
      <w:bookmarkEnd w:id="25"/>
      <w:bookmarkEnd w:id="26"/>
    </w:p>
    <w:p w:rsidRPr="0020726F" w:rsidR="0020726F" w:rsidP="0020726F" w:rsidRDefault="0020726F" w14:paraId="5A3A424D" w14:textId="0FFF2BE9">
      <w:pPr>
        <w:rPr>
          <w:rFonts w:ascii="Arial" w:hAnsi="Arial" w:cs="Arial"/>
        </w:rPr>
      </w:pPr>
      <w:r w:rsidRPr="0020726F">
        <w:rPr>
          <w:rFonts w:ascii="Arial" w:hAnsi="Arial" w:cs="Arial"/>
        </w:rPr>
        <w:t>Enzymes used to process and manufacture food are considered processing aids. Although they may be present in the final food, they no longer provide a technological purpose in the final food.</w:t>
      </w:r>
    </w:p>
    <w:p w:rsidRPr="0020726F" w:rsidR="0020726F" w:rsidP="0020726F" w:rsidRDefault="0020726F" w14:paraId="080E5845" w14:textId="021B031D">
      <w:pPr>
        <w:rPr>
          <w:rFonts w:ascii="Arial" w:hAnsi="Arial" w:cs="Arial"/>
        </w:rPr>
      </w:pPr>
      <w:r w:rsidRPr="7DF58A1D">
        <w:rPr>
          <w:rFonts w:ascii="Arial" w:hAnsi="Arial" w:cs="Arial"/>
        </w:rPr>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meets all the following conditions: </w:t>
      </w:r>
    </w:p>
    <w:p w:rsidRPr="0020726F" w:rsidR="0020726F" w:rsidP="0020726F" w:rsidRDefault="0020726F" w14:paraId="295D0FCE" w14:textId="5ACCD548">
      <w:pPr>
        <w:pStyle w:val="ListParagraph"/>
        <w:widowControl w:val="0"/>
        <w:numPr>
          <w:ilvl w:val="0"/>
          <w:numId w:val="5"/>
        </w:numPr>
        <w:spacing w:after="0" w:line="240" w:lineRule="auto"/>
        <w:rPr>
          <w:rFonts w:ascii="Arial" w:hAnsi="Arial" w:cs="Arial"/>
        </w:rPr>
      </w:pPr>
      <w:r w:rsidRPr="7DF58A1D">
        <w:rPr>
          <w:rFonts w:ascii="Arial" w:hAnsi="Arial" w:cs="Arial"/>
        </w:rPr>
        <w:t>it is used to perform a technological purpose during processing</w:t>
      </w:r>
      <w:r w:rsidRPr="7DF58A1D" w:rsidR="007D5DD4">
        <w:rPr>
          <w:rFonts w:ascii="Arial" w:hAnsi="Arial" w:cs="Arial"/>
        </w:rPr>
        <w:t>,</w:t>
      </w:r>
    </w:p>
    <w:p w:rsidRPr="0020726F" w:rsidR="0020726F" w:rsidP="0020726F" w:rsidRDefault="0020726F" w14:paraId="72342946" w14:textId="77777777">
      <w:pPr>
        <w:pStyle w:val="ListParagraph"/>
        <w:widowControl w:val="0"/>
        <w:numPr>
          <w:ilvl w:val="0"/>
          <w:numId w:val="5"/>
        </w:numPr>
        <w:spacing w:after="0" w:line="240" w:lineRule="auto"/>
        <w:rPr>
          <w:rFonts w:ascii="Arial" w:hAnsi="Arial" w:cs="Arial"/>
        </w:rPr>
      </w:pPr>
      <w:r w:rsidRPr="0020726F">
        <w:rPr>
          <w:rFonts w:ascii="Arial" w:hAnsi="Arial" w:cs="Arial"/>
        </w:rPr>
        <w:t xml:space="preserve">it does not perform a technological purpose in the food for sale, and </w:t>
      </w:r>
    </w:p>
    <w:p w:rsidR="0020726F" w:rsidP="004E28A7" w:rsidRDefault="0020726F" w14:paraId="334F545B" w14:textId="378581E0">
      <w:pPr>
        <w:pStyle w:val="ListParagraph"/>
        <w:widowControl w:val="0"/>
        <w:numPr>
          <w:ilvl w:val="0"/>
          <w:numId w:val="5"/>
        </w:numPr>
        <w:spacing w:after="0" w:line="240" w:lineRule="auto"/>
        <w:rPr>
          <w:rFonts w:ascii="Arial" w:hAnsi="Arial" w:cs="Arial"/>
        </w:rPr>
      </w:pPr>
      <w:r w:rsidRPr="0020726F">
        <w:rPr>
          <w:rFonts w:ascii="Arial" w:hAnsi="Arial" w:cs="Arial"/>
        </w:rPr>
        <w:t xml:space="preserve">it is a substance listed in Schedule 18 or identified in section S16—2 as an additive permitted at </w:t>
      </w:r>
      <w:r w:rsidRPr="0020726F">
        <w:rPr>
          <w:rFonts w:ascii="Arial" w:hAnsi="Arial" w:cs="Arial"/>
          <w:lang w:val="en-AU"/>
        </w:rPr>
        <w:t>Good Manufacturing Practice (</w:t>
      </w:r>
      <w:r w:rsidRPr="0020726F">
        <w:rPr>
          <w:rFonts w:ascii="Arial" w:hAnsi="Arial" w:cs="Arial"/>
        </w:rPr>
        <w:t>GMP).</w:t>
      </w:r>
    </w:p>
    <w:p w:rsidRPr="0020726F" w:rsidR="0020726F" w:rsidP="0020726F" w:rsidRDefault="0020726F" w14:paraId="17D44A77" w14:textId="77777777">
      <w:pPr>
        <w:pStyle w:val="ListParagraph"/>
        <w:widowControl w:val="0"/>
        <w:spacing w:after="0" w:line="240" w:lineRule="auto"/>
        <w:rPr>
          <w:rFonts w:ascii="Arial" w:hAnsi="Arial" w:cs="Arial"/>
        </w:rPr>
      </w:pPr>
    </w:p>
    <w:p w:rsidRPr="0020726F" w:rsidR="0020726F" w:rsidP="0020726F" w:rsidRDefault="0020726F" w14:paraId="671079E8" w14:textId="3E05FB54">
      <w:pPr>
        <w:rPr>
          <w:rFonts w:ascii="Arial" w:hAnsi="Arial" w:cs="Arial"/>
        </w:rPr>
      </w:pPr>
      <w:r w:rsidRPr="7DF58A1D">
        <w:rPr>
          <w:rFonts w:ascii="Arial" w:hAnsi="Arial" w:cs="Arial"/>
        </w:rPr>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w:t>
      </w:r>
      <w:r w:rsidRPr="7DF58A1D">
        <w:rPr>
          <w:rFonts w:ascii="Arial" w:hAnsi="Arial" w:cs="Arial"/>
        </w:rPr>
        <w:lastRenderedPageBreak/>
        <w:t>sources, that are permitted to be used as processing aids for specific technological purposes in relation to:</w:t>
      </w:r>
    </w:p>
    <w:p w:rsidRPr="0020726F" w:rsidR="0020726F" w:rsidP="0020726F" w:rsidRDefault="0020726F" w14:paraId="7E21B390" w14:textId="77777777">
      <w:pPr>
        <w:pStyle w:val="ListParagraph"/>
        <w:widowControl w:val="0"/>
        <w:numPr>
          <w:ilvl w:val="0"/>
          <w:numId w:val="5"/>
        </w:numPr>
        <w:spacing w:after="0" w:line="240" w:lineRule="auto"/>
        <w:rPr>
          <w:rFonts w:ascii="Arial" w:hAnsi="Arial" w:cs="Arial"/>
        </w:rPr>
      </w:pPr>
      <w:r w:rsidRPr="0020726F">
        <w:rPr>
          <w:rFonts w:ascii="Arial" w:hAnsi="Arial" w:cs="Arial"/>
        </w:rPr>
        <w:t>if a food is specified—that food, or</w:t>
      </w:r>
    </w:p>
    <w:p w:rsidRPr="0020726F" w:rsidR="0020726F" w:rsidP="0020726F" w:rsidRDefault="0020726F" w14:paraId="6DF285EF" w14:textId="77777777">
      <w:pPr>
        <w:pStyle w:val="ListParagraph"/>
        <w:widowControl w:val="0"/>
        <w:numPr>
          <w:ilvl w:val="0"/>
          <w:numId w:val="5"/>
        </w:numPr>
        <w:spacing w:after="0" w:line="240" w:lineRule="auto"/>
        <w:rPr>
          <w:rFonts w:ascii="Arial" w:hAnsi="Arial" w:cs="Arial"/>
        </w:rPr>
      </w:pPr>
      <w:r w:rsidRPr="0020726F">
        <w:rPr>
          <w:rFonts w:ascii="Arial" w:hAnsi="Arial" w:cs="Arial"/>
        </w:rPr>
        <w:t xml:space="preserve">if no food is specified—any food. </w:t>
      </w:r>
    </w:p>
    <w:p w:rsidRPr="0020726F" w:rsidR="0020726F" w:rsidP="0020726F" w:rsidRDefault="0020726F" w14:paraId="0C090DF3" w14:textId="77777777">
      <w:pPr>
        <w:rPr>
          <w:rFonts w:ascii="Arial" w:hAnsi="Arial" w:cs="Arial"/>
        </w:rPr>
      </w:pPr>
    </w:p>
    <w:p w:rsidRPr="0020726F" w:rsidR="0020726F" w:rsidP="0020726F" w:rsidRDefault="0020726F" w14:paraId="1BA4748C" w14:textId="283C398B">
      <w:pPr>
        <w:rPr>
          <w:rFonts w:ascii="Arial" w:hAnsi="Arial" w:cs="Arial"/>
        </w:rPr>
      </w:pPr>
      <w:r w:rsidRPr="0020726F">
        <w:rPr>
          <w:rFonts w:ascii="Arial" w:hAnsi="Arial" w:cs="Arial"/>
        </w:rPr>
        <w:t>Additionally, paragraph 1.3.3—11(c) specifies that the substance may only be used as a processing aid if it is not present in the food at greater than the maximum permitted level for that substance indicated in the table to section S18—9.</w:t>
      </w:r>
    </w:p>
    <w:p w:rsidRPr="0020726F" w:rsidR="0020726F" w:rsidP="0020726F" w:rsidRDefault="0020726F" w14:paraId="1FC4C0BA" w14:textId="73B44767">
      <w:pPr>
        <w:rPr>
          <w:rFonts w:ascii="Arial" w:hAnsi="Arial" w:cs="Arial"/>
        </w:rPr>
      </w:pPr>
      <w:r w:rsidRPr="0020726F">
        <w:rPr>
          <w:rFonts w:ascii="Arial" w:hAnsi="Arial" w:cs="Arial"/>
        </w:rPr>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rsidRPr="0020726F" w:rsidR="0020726F" w:rsidP="0020726F" w:rsidRDefault="0020726F" w14:paraId="5A2265ED" w14:textId="77777777">
      <w:pPr>
        <w:rPr>
          <w:rFonts w:ascii="Arial" w:hAnsi="Arial" w:cs="Arial"/>
        </w:rPr>
      </w:pPr>
      <w:r w:rsidRPr="0020726F">
        <w:rPr>
          <w:rFonts w:ascii="Arial" w:hAnsi="Arial" w:cs="Arial"/>
        </w:rPr>
        <w:t xml:space="preserve">Thermomycolin is not currently listed in the Code and is one of a class of enzymes referred to by the International Union of Biochemistry and Molecular Biology (IUBMB) as serine proteinases EC 3.4.21.14. The IUBMB has further defined EC 3.4.21.14 to individual entries, which includes thermomycolin (EC 3.4.21.65) (IUBMB 2022). The Code lists several other sources of serine proteinase such as </w:t>
      </w:r>
      <w:r w:rsidRPr="0020726F">
        <w:rPr>
          <w:rFonts w:ascii="Arial" w:hAnsi="Arial" w:cs="Arial"/>
          <w:i/>
        </w:rPr>
        <w:t>Aspergillus oryzae,</w:t>
      </w:r>
      <w:r w:rsidRPr="0020726F">
        <w:rPr>
          <w:rFonts w:ascii="Arial" w:hAnsi="Arial" w:cs="Arial"/>
        </w:rPr>
        <w:t xml:space="preserve"> </w:t>
      </w:r>
      <w:r w:rsidRPr="0020726F">
        <w:rPr>
          <w:rFonts w:ascii="Arial" w:hAnsi="Arial" w:cs="Arial"/>
          <w:i/>
        </w:rPr>
        <w:t>Bacillus amyloliquefaciens, Bacillus halodurans, Bacillus licheniformis</w:t>
      </w:r>
      <w:r w:rsidRPr="0020726F">
        <w:rPr>
          <w:rFonts w:ascii="Arial" w:hAnsi="Arial" w:cs="Arial"/>
        </w:rPr>
        <w:t xml:space="preserve"> and </w:t>
      </w:r>
      <w:r w:rsidRPr="0020726F">
        <w:rPr>
          <w:rFonts w:ascii="Arial" w:hAnsi="Arial" w:cs="Arial"/>
          <w:i/>
        </w:rPr>
        <w:t>Bacillus subtilis</w:t>
      </w:r>
      <w:r w:rsidRPr="0020726F">
        <w:rPr>
          <w:rFonts w:ascii="Arial" w:hAnsi="Arial" w:cs="Arial"/>
        </w:rPr>
        <w:t xml:space="preserve"> within S18—3(5) permitted enzymes of microbial origin.</w:t>
      </w:r>
    </w:p>
    <w:p w:rsidRPr="00A05EC6" w:rsidR="0020726F" w:rsidP="0020726F" w:rsidRDefault="0020726F" w14:paraId="74AD2470" w14:textId="77777777">
      <w:pPr>
        <w:pStyle w:val="Heading3"/>
        <w:rPr>
          <w:rFonts w:eastAsiaTheme="majorEastAsia"/>
          <w:i/>
        </w:rPr>
      </w:pPr>
      <w:bookmarkStart w:name="_Toc101261720" w:id="27"/>
      <w:bookmarkStart w:name="_Toc110434585" w:id="28"/>
      <w:r w:rsidRPr="00A05EC6">
        <w:rPr>
          <w:rFonts w:eastAsiaTheme="majorEastAsia"/>
          <w:i/>
        </w:rPr>
        <w:t>1.3.2</w:t>
      </w:r>
      <w:r w:rsidRPr="00A05EC6">
        <w:rPr>
          <w:rFonts w:eastAsiaTheme="majorEastAsia"/>
          <w:i/>
        </w:rPr>
        <w:tab/>
      </w:r>
      <w:r w:rsidRPr="00A05EC6">
        <w:rPr>
          <w:rFonts w:eastAsiaTheme="majorEastAsia"/>
          <w:i/>
        </w:rPr>
        <w:t>Identity and purity requirements</w:t>
      </w:r>
      <w:bookmarkEnd w:id="27"/>
      <w:bookmarkEnd w:id="28"/>
    </w:p>
    <w:p w:rsidRPr="0020726F" w:rsidR="0020726F" w:rsidP="0020726F" w:rsidRDefault="0020726F" w14:paraId="315BD9BE" w14:textId="03E4F456">
      <w:pPr>
        <w:rPr>
          <w:rFonts w:ascii="Arial" w:hAnsi="Arial" w:cs="Arial"/>
        </w:rPr>
      </w:pPr>
      <w:r w:rsidRPr="5058D6E4">
        <w:rPr>
          <w:rFonts w:ascii="Arial" w:hAnsi="Arial" w:cs="Arial"/>
        </w:rPr>
        <w:t xml:space="preserve">Paragraph 1.1.1—15(1)(b) of the Code requires substances used as processing aids </w:t>
      </w:r>
      <w:r w:rsidRPr="5058D6E4" w:rsidR="00E51640">
        <w:rPr>
          <w:rFonts w:ascii="Arial" w:hAnsi="Arial" w:cs="Arial"/>
        </w:rPr>
        <w:t xml:space="preserve">in food </w:t>
      </w:r>
      <w:r w:rsidRPr="5058D6E4">
        <w:rPr>
          <w:rFonts w:ascii="Arial" w:hAnsi="Arial" w:cs="Arial"/>
        </w:rPr>
        <w:t xml:space="preserve">to comply with any relevant identity and purity specifications listed in Schedule 3 of the Code. </w:t>
      </w:r>
    </w:p>
    <w:p w:rsidRPr="0020726F" w:rsidR="0020726F" w:rsidP="0020726F" w:rsidRDefault="0020726F" w14:paraId="139AD05B" w14:textId="7BE8F8AB">
      <w:pPr>
        <w:rPr>
          <w:rFonts w:ascii="Arial" w:hAnsi="Arial" w:cs="Arial"/>
        </w:rPr>
      </w:pPr>
      <w:r w:rsidRPr="5058D6E4">
        <w:rPr>
          <w:rFonts w:ascii="Arial" w:hAnsi="Arial" w:cs="Arial"/>
        </w:rPr>
        <w:t xml:space="preserve">Subsection S3—2(1) of Schedule 3 incorporates by reference the specifications </w:t>
      </w:r>
      <w:r w:rsidRPr="5058D6E4">
        <w:rPr>
          <w:rFonts w:ascii="Arial" w:hAnsi="Arial" w:eastAsia="Calibri" w:cs="Arial"/>
          <w:lang w:val="en-AU"/>
        </w:rPr>
        <w:t xml:space="preserve">listed in </w:t>
      </w:r>
      <w:r w:rsidRPr="5058D6E4">
        <w:rPr>
          <w:rFonts w:ascii="Arial" w:hAnsi="Arial" w:cs="Arial"/>
        </w:rPr>
        <w:t>the Joint FAO/WHO Expert Committee on Food Additives (JECFA) Combined Compendium of Food Additive Specifications</w:t>
      </w:r>
      <w:r w:rsidRPr="5058D6E4" w:rsidR="00B72240">
        <w:rPr>
          <w:rFonts w:ascii="Arial" w:hAnsi="Arial" w:cs="Arial"/>
        </w:rPr>
        <w:t xml:space="preserve"> (</w:t>
      </w:r>
      <w:r w:rsidRPr="5058D6E4" w:rsidR="00E51640">
        <w:rPr>
          <w:rFonts w:ascii="Arial" w:hAnsi="Arial" w:cs="Arial"/>
        </w:rPr>
        <w:t xml:space="preserve">FAO </w:t>
      </w:r>
      <w:r w:rsidRPr="5058D6E4" w:rsidR="00B72240">
        <w:rPr>
          <w:rFonts w:ascii="Arial" w:hAnsi="Arial" w:cs="Arial"/>
        </w:rPr>
        <w:t>J</w:t>
      </w:r>
      <w:r w:rsidRPr="5058D6E4">
        <w:rPr>
          <w:rFonts w:ascii="Arial" w:hAnsi="Arial" w:cs="Arial"/>
        </w:rPr>
        <w:t xml:space="preserve">ECFA </w:t>
      </w:r>
      <w:r w:rsidRPr="5058D6E4" w:rsidR="00E51640">
        <w:rPr>
          <w:rFonts w:ascii="Arial" w:hAnsi="Arial" w:cs="Arial"/>
        </w:rPr>
        <w:t xml:space="preserve">Monographs 23, </w:t>
      </w:r>
      <w:r w:rsidRPr="5058D6E4" w:rsidR="00B72240">
        <w:rPr>
          <w:rFonts w:ascii="Arial" w:hAnsi="Arial" w:cs="Arial"/>
        </w:rPr>
        <w:t>20</w:t>
      </w:r>
      <w:r w:rsidRPr="5058D6E4" w:rsidR="00E51640">
        <w:rPr>
          <w:rFonts w:ascii="Arial" w:hAnsi="Arial" w:cs="Arial"/>
        </w:rPr>
        <w:t>19</w:t>
      </w:r>
      <w:r w:rsidRPr="5058D6E4">
        <w:rPr>
          <w:rFonts w:ascii="Arial" w:hAnsi="Arial" w:cs="Arial"/>
        </w:rPr>
        <w:t>), and the United States Pharmacopeial Convention (</w:t>
      </w:r>
      <w:r w:rsidRPr="5058D6E4" w:rsidR="00B72240">
        <w:rPr>
          <w:rFonts w:ascii="Arial" w:hAnsi="Arial" w:cs="Arial"/>
        </w:rPr>
        <w:t xml:space="preserve">USPC </w:t>
      </w:r>
      <w:r w:rsidRPr="5058D6E4">
        <w:rPr>
          <w:rFonts w:ascii="Arial" w:hAnsi="Arial" w:cs="Arial"/>
        </w:rPr>
        <w:t>2020) Food Chemicals Codex (12</w:t>
      </w:r>
      <w:r w:rsidRPr="5058D6E4">
        <w:rPr>
          <w:rFonts w:ascii="Arial" w:hAnsi="Arial" w:cs="Arial"/>
          <w:vertAlign w:val="superscript"/>
        </w:rPr>
        <w:t>th</w:t>
      </w:r>
      <w:r w:rsidRPr="5058D6E4">
        <w:rPr>
          <w:rFonts w:ascii="Arial" w:hAnsi="Arial" w:cs="Arial"/>
        </w:rPr>
        <w:t xml:space="preserve"> edition). These include specifications for enzyme preparations used in food processing.</w:t>
      </w:r>
    </w:p>
    <w:p w:rsidRPr="00A05EC6" w:rsidR="0020726F" w:rsidP="0020726F" w:rsidRDefault="0020726F" w14:paraId="3537ED6E" w14:textId="77777777">
      <w:pPr>
        <w:pStyle w:val="Heading3"/>
        <w:rPr>
          <w:rFonts w:eastAsiaTheme="majorEastAsia"/>
          <w:i/>
        </w:rPr>
      </w:pPr>
      <w:bookmarkStart w:name="_Toc101261721" w:id="29"/>
      <w:bookmarkStart w:name="_Toc110434586" w:id="30"/>
      <w:r w:rsidRPr="00A05EC6">
        <w:rPr>
          <w:rFonts w:eastAsiaTheme="majorEastAsia"/>
          <w:i/>
        </w:rPr>
        <w:t>1.3.3</w:t>
      </w:r>
      <w:r w:rsidRPr="00A05EC6">
        <w:rPr>
          <w:rFonts w:eastAsiaTheme="majorEastAsia"/>
          <w:i/>
        </w:rPr>
        <w:tab/>
      </w:r>
      <w:r w:rsidRPr="00A05EC6">
        <w:rPr>
          <w:rFonts w:eastAsiaTheme="majorEastAsia"/>
          <w:i/>
        </w:rPr>
        <w:t>Labelling requirements</w:t>
      </w:r>
      <w:bookmarkEnd w:id="29"/>
      <w:bookmarkEnd w:id="30"/>
    </w:p>
    <w:p w:rsidRPr="0020726F" w:rsidR="0020726F" w:rsidP="0020726F" w:rsidRDefault="0020726F" w14:paraId="3270C162" w14:textId="4BB86149">
      <w:pPr>
        <w:rPr>
          <w:rFonts w:ascii="Arial" w:hAnsi="Arial" w:cs="Arial"/>
        </w:rPr>
      </w:pPr>
      <w:r w:rsidRPr="0020726F">
        <w:rPr>
          <w:rFonts w:ascii="Arial" w:hAnsi="Arial" w:cs="Arial"/>
        </w:rPr>
        <w:t>Subsection 1.1.1</w:t>
      </w:r>
      <w:r w:rsidRPr="0020726F">
        <w:rPr>
          <w:rFonts w:ascii="Arial" w:hAnsi="Arial" w:cs="Arial"/>
          <w:lang w:val="en-AU"/>
        </w:rPr>
        <w:t>—</w:t>
      </w:r>
      <w:r w:rsidRPr="0020726F">
        <w:rPr>
          <w:rFonts w:ascii="Arial" w:hAnsi="Arial" w:cs="Arial"/>
        </w:rPr>
        <w:t xml:space="preserve">10(8) </w:t>
      </w:r>
      <w:r w:rsidR="00E51640">
        <w:rPr>
          <w:rFonts w:ascii="Arial" w:hAnsi="Arial" w:cs="Arial"/>
        </w:rPr>
        <w:t xml:space="preserve">of the Code </w:t>
      </w:r>
      <w:r w:rsidRPr="0020726F">
        <w:rPr>
          <w:rFonts w:ascii="Arial" w:hAnsi="Arial" w:cs="Arial"/>
        </w:rPr>
        <w:t>provides that food for sale must comply with all relevant labelling requirements imposed by the Code for that food.</w:t>
      </w:r>
    </w:p>
    <w:p w:rsidRPr="0020726F" w:rsidR="0020726F" w:rsidP="0020726F" w:rsidRDefault="0020726F" w14:paraId="6026097E" w14:textId="2D079ED9">
      <w:pPr>
        <w:rPr>
          <w:rFonts w:ascii="Arial" w:hAnsi="Arial" w:cs="Arial"/>
        </w:rPr>
      </w:pPr>
      <w:r w:rsidRPr="0020726F">
        <w:rPr>
          <w:rFonts w:ascii="Arial" w:hAnsi="Arial" w:cs="Arial"/>
        </w:rPr>
        <w:t xml:space="preserve">Subsection 1.2.3—4(1) requires certain foods </w:t>
      </w:r>
      <w:r w:rsidR="00D41732">
        <w:rPr>
          <w:rStyle w:val="normaltextrun"/>
          <w:rFonts w:ascii="Arial" w:hAnsi="Arial" w:cs="Arial"/>
          <w:color w:val="000000"/>
          <w:shd w:val="clear" w:color="auto" w:fill="FFFFFF"/>
        </w:rPr>
        <w:t>or their derivatives (as</w:t>
      </w:r>
      <w:r>
        <w:rPr>
          <w:rStyle w:val="normaltextrun"/>
          <w:rFonts w:ascii="Arial" w:hAnsi="Arial" w:cs="Arial"/>
          <w:color w:val="000000"/>
          <w:shd w:val="clear" w:color="auto" w:fill="FFFFFF"/>
        </w:rPr>
        <w:t xml:space="preserve"> listed in the table to section S9—3 </w:t>
      </w:r>
      <w:r w:rsidR="00D41732">
        <w:rPr>
          <w:rStyle w:val="normaltextrun"/>
          <w:rFonts w:ascii="Arial" w:hAnsi="Arial" w:cs="Arial"/>
          <w:color w:val="000000"/>
          <w:shd w:val="clear" w:color="auto" w:fill="FFFFFF"/>
        </w:rPr>
        <w:t>of Schedule 9</w:t>
      </w:r>
      <w:r>
        <w:rPr>
          <w:rStyle w:val="normaltextrun"/>
          <w:rFonts w:ascii="Arial" w:hAnsi="Arial" w:cs="Arial"/>
          <w:color w:val="000000"/>
          <w:shd w:val="clear" w:color="auto" w:fill="FFFFFF"/>
        </w:rPr>
        <w:t xml:space="preserve">) </w:t>
      </w:r>
      <w:r w:rsidRPr="0020726F">
        <w:rPr>
          <w:rFonts w:ascii="Arial" w:hAnsi="Arial" w:cs="Arial"/>
        </w:rPr>
        <w:t xml:space="preserve">to be declared when present in a food for sale. </w:t>
      </w:r>
      <w:r w:rsidRPr="00671DE6" w:rsidR="00671DE6">
        <w:rPr>
          <w:rFonts w:ascii="Arial" w:hAnsi="Arial" w:cs="Arial"/>
        </w:rPr>
        <w:t>The</w:t>
      </w:r>
      <w:r w:rsidRPr="0020726F">
        <w:rPr>
          <w:rFonts w:ascii="Arial" w:hAnsi="Arial" w:cs="Arial"/>
        </w:rPr>
        <w:t xml:space="preserve"> food may be present as a substance used as a processing aid or</w:t>
      </w:r>
      <w:r w:rsidRPr="00671DE6" w:rsidR="00671DE6">
        <w:rPr>
          <w:rFonts w:ascii="Arial" w:hAnsi="Arial" w:cs="Arial"/>
        </w:rPr>
        <w:t xml:space="preserve"> as</w:t>
      </w:r>
      <w:r w:rsidRPr="0020726F">
        <w:rPr>
          <w:rFonts w:ascii="Arial" w:hAnsi="Arial" w:cs="Arial"/>
        </w:rPr>
        <w:t xml:space="preserve"> an ingredient or component of a substance used a processing aid </w:t>
      </w:r>
      <w:r w:rsidRPr="00671DE6" w:rsidR="00671DE6">
        <w:rPr>
          <w:rFonts w:ascii="Arial" w:hAnsi="Arial" w:cs="Arial"/>
        </w:rPr>
        <w:t xml:space="preserve">(paragraph 1.2.3—4(5)(c)). </w:t>
      </w:r>
      <w:r w:rsidRPr="00EE0432" w:rsidR="00EE0432">
        <w:rPr>
          <w:rFonts w:ascii="Arial" w:hAnsi="Arial" w:cs="Arial"/>
        </w:rPr>
        <w:t xml:space="preserve">Where the food to be declared is a substance used as a processing aid or an ingredient or component of such a substance, </w:t>
      </w:r>
      <w:r w:rsidR="00F61FC4">
        <w:rPr>
          <w:rFonts w:ascii="Arial" w:hAnsi="Arial" w:cs="Arial"/>
        </w:rPr>
        <w:t>s</w:t>
      </w:r>
      <w:r w:rsidRPr="00671DE6" w:rsidR="00671DE6">
        <w:rPr>
          <w:rFonts w:ascii="Arial" w:hAnsi="Arial" w:cs="Arial"/>
        </w:rPr>
        <w:t>ubsection</w:t>
      </w:r>
      <w:r w:rsidRPr="0020726F">
        <w:rPr>
          <w:rFonts w:ascii="Arial" w:hAnsi="Arial" w:cs="Arial"/>
        </w:rPr>
        <w:t xml:space="preserve"> 1.2.3—6(2) requires a declaration </w:t>
      </w:r>
      <w:r w:rsidRPr="5058D6E4" w:rsidR="008E3DDC">
        <w:rPr>
          <w:rFonts w:ascii="Arial" w:hAnsi="Arial" w:cs="Arial"/>
        </w:rPr>
        <w:t>for the purposes of paragraph 1.2.1—8(1)(d) or subparagraph 1.2.4—5(6)(b)(i</w:t>
      </w:r>
      <w:r w:rsidRPr="008E3DDC" w:rsidR="008E3DDC">
        <w:rPr>
          <w:rFonts w:ascii="Arial" w:hAnsi="Arial" w:cs="Arial"/>
        </w:rPr>
        <w:t>)</w:t>
      </w:r>
      <w:r w:rsidR="008E3DDC">
        <w:rPr>
          <w:rFonts w:ascii="Arial" w:hAnsi="Arial" w:cs="Arial"/>
        </w:rPr>
        <w:t xml:space="preserve"> </w:t>
      </w:r>
      <w:r w:rsidRPr="0020726F">
        <w:rPr>
          <w:rFonts w:ascii="Arial" w:hAnsi="Arial" w:cs="Arial"/>
        </w:rPr>
        <w:t>to be made by (among other things) listing in the statement of ingredients the</w:t>
      </w:r>
      <w:r w:rsidR="0099502D">
        <w:rPr>
          <w:rFonts w:ascii="Arial" w:hAnsi="Arial" w:cs="Arial"/>
        </w:rPr>
        <w:t xml:space="preserve"> </w:t>
      </w:r>
      <w:r w:rsidRPr="0099502D" w:rsidR="0099502D">
        <w:rPr>
          <w:rFonts w:ascii="Arial" w:hAnsi="Arial" w:cs="Arial"/>
        </w:rPr>
        <w:t>of the food for sale</w:t>
      </w:r>
      <w:r w:rsidR="00C27B03">
        <w:rPr>
          <w:rFonts w:ascii="Arial" w:hAnsi="Arial" w:cs="Arial"/>
        </w:rPr>
        <w:t xml:space="preserve"> the</w:t>
      </w:r>
      <w:r w:rsidRPr="0020726F">
        <w:rPr>
          <w:rFonts w:ascii="Arial" w:hAnsi="Arial" w:cs="Arial"/>
        </w:rPr>
        <w:t xml:space="preserve"> required name</w:t>
      </w:r>
      <w:r w:rsidR="00274250">
        <w:rPr>
          <w:rStyle w:val="FootnoteReference"/>
          <w:rFonts w:ascii="Arial" w:hAnsi="Arial" w:cs="Arial"/>
        </w:rPr>
        <w:footnoteReference w:id="2"/>
      </w:r>
      <w:r w:rsidRPr="0020726F">
        <w:rPr>
          <w:rFonts w:ascii="Arial" w:hAnsi="Arial" w:cs="Arial"/>
        </w:rPr>
        <w:t xml:space="preserve"> of the food </w:t>
      </w:r>
      <w:r w:rsidR="000458BD">
        <w:rPr>
          <w:rFonts w:ascii="Arial" w:hAnsi="Arial" w:cs="Arial"/>
        </w:rPr>
        <w:t xml:space="preserve">to be declared </w:t>
      </w:r>
      <w:r w:rsidRPr="0020726F">
        <w:rPr>
          <w:rFonts w:ascii="Arial" w:hAnsi="Arial" w:cs="Arial"/>
        </w:rPr>
        <w:t>and the words ‘processing aid’ in conjunction with that required name</w:t>
      </w:r>
      <w:r w:rsidRPr="0020726F">
        <w:rPr>
          <w:rStyle w:val="FootnoteReference"/>
          <w:rFonts w:ascii="Arial" w:hAnsi="Arial" w:cs="Arial"/>
        </w:rPr>
        <w:footnoteReference w:id="3"/>
      </w:r>
      <w:r w:rsidRPr="0020726F">
        <w:rPr>
          <w:rFonts w:ascii="Arial" w:hAnsi="Arial" w:cs="Arial"/>
        </w:rPr>
        <w:t xml:space="preserve">. If the food is not required to </w:t>
      </w:r>
      <w:r w:rsidRPr="0020726F">
        <w:rPr>
          <w:rFonts w:ascii="Arial" w:hAnsi="Arial" w:cs="Arial"/>
        </w:rPr>
        <w:lastRenderedPageBreak/>
        <w:t xml:space="preserve">bear a label, the </w:t>
      </w:r>
      <w:r w:rsidRPr="00671DE6" w:rsidR="00671DE6">
        <w:rPr>
          <w:rFonts w:ascii="Arial" w:hAnsi="Arial" w:cs="Arial"/>
        </w:rPr>
        <w:t>declaration</w:t>
      </w:r>
      <w:r w:rsidRPr="0020726F">
        <w:rPr>
          <w:rFonts w:ascii="Arial" w:hAnsi="Arial" w:cs="Arial"/>
        </w:rPr>
        <w:t xml:space="preserve"> must be displayed in connection with the display of the food or provided to the purchaser on request (subsections 1.2.1—9(6) and (7)).</w:t>
      </w:r>
    </w:p>
    <w:p w:rsidRPr="0020726F" w:rsidR="0020726F" w:rsidP="0020726F" w:rsidRDefault="0020726F" w14:paraId="7639E9D5" w14:textId="4B8112E4">
      <w:pPr>
        <w:rPr>
          <w:rFonts w:ascii="Arial" w:hAnsi="Arial" w:cs="Arial"/>
          <w:lang w:eastAsia="en-AU"/>
        </w:rPr>
      </w:pPr>
      <w:r w:rsidRPr="346EAF37">
        <w:rPr>
          <w:rFonts w:ascii="Arial" w:hAnsi="Arial" w:cs="Arial"/>
        </w:rPr>
        <w:t xml:space="preserve">Paragraphs 1.2.4—3(2)(d) and (e) exempt processing aids from the requirement to be declared in the statement of ingredients unless other requirements apply. </w:t>
      </w:r>
    </w:p>
    <w:p w:rsidRPr="0020726F" w:rsidR="0020726F" w:rsidP="0020726F" w:rsidRDefault="0020726F" w14:paraId="26CC8292" w14:textId="53BEFD0B">
      <w:pPr>
        <w:rPr>
          <w:rFonts w:ascii="Arial" w:hAnsi="Arial" w:cs="Arial"/>
          <w:lang w:eastAsia="en-AU"/>
        </w:rPr>
      </w:pPr>
      <w:r w:rsidRPr="0020726F">
        <w:rPr>
          <w:rFonts w:ascii="Arial" w:hAnsi="Arial" w:cs="Arial"/>
        </w:rPr>
        <w:t xml:space="preserve">Section 1.5.2—4 requires processing aids that are, or have as ingredients, foods produced using gene technology to be labelled ‘genetically modified’ in conjunction with the name of that food, where novel DNA and/or novel protein from the processing aid remains present in the final food. The requirement applies to foods for sale that consist of or have as an ingredient, food that is a </w:t>
      </w:r>
      <w:r w:rsidRPr="5058D6E4">
        <w:rPr>
          <w:rFonts w:ascii="Arial" w:hAnsi="Arial" w:cs="Arial"/>
          <w:i/>
          <w:iCs/>
        </w:rPr>
        <w:t>genetically modified food</w:t>
      </w:r>
      <w:r w:rsidRPr="0020726F">
        <w:rPr>
          <w:rStyle w:val="FootnoteReference"/>
          <w:rFonts w:ascii="Arial" w:hAnsi="Arial" w:cs="Arial"/>
        </w:rPr>
        <w:footnoteReference w:id="4"/>
      </w:r>
      <w:r w:rsidRPr="5058D6E4">
        <w:rPr>
          <w:rFonts w:ascii="Arial" w:hAnsi="Arial" w:cs="Arial"/>
          <w:i/>
          <w:iCs/>
        </w:rPr>
        <w:t xml:space="preserve"> </w:t>
      </w:r>
      <w:r w:rsidRPr="0020726F">
        <w:rPr>
          <w:rFonts w:ascii="Arial" w:hAnsi="Arial" w:cs="Arial"/>
        </w:rPr>
        <w:t xml:space="preserve">(GM food). The requirements imposed by section 1.5.2—4 </w:t>
      </w:r>
      <w:r w:rsidR="007D0EE5">
        <w:rPr>
          <w:rFonts w:ascii="Arial" w:hAnsi="Arial" w:cs="Arial"/>
        </w:rPr>
        <w:t xml:space="preserve">generally </w:t>
      </w:r>
      <w:r w:rsidRPr="0020726F" w:rsidR="007D0EE5">
        <w:rPr>
          <w:rFonts w:ascii="Arial" w:hAnsi="Arial" w:cs="Arial"/>
        </w:rPr>
        <w:t>appl</w:t>
      </w:r>
      <w:r w:rsidR="007D0EE5">
        <w:rPr>
          <w:rFonts w:ascii="Arial" w:hAnsi="Arial" w:cs="Arial"/>
        </w:rPr>
        <w:t>y</w:t>
      </w:r>
      <w:r w:rsidRPr="0020726F" w:rsidR="007D0EE5">
        <w:rPr>
          <w:rFonts w:ascii="Arial" w:hAnsi="Arial" w:cs="Arial"/>
        </w:rPr>
        <w:t xml:space="preserve"> </w:t>
      </w:r>
      <w:r w:rsidRPr="0020726F">
        <w:rPr>
          <w:rFonts w:ascii="Arial" w:hAnsi="Arial" w:cs="Arial"/>
        </w:rPr>
        <w:t>only to foods for retail sale and to foods sold to a caterer under subsection 1.2.1—8(1) and 1.2.1—9(3), and section 1.2.1—15, respectively.</w:t>
      </w:r>
    </w:p>
    <w:p w:rsidRPr="00A05EC6" w:rsidR="0020726F" w:rsidP="0020726F" w:rsidRDefault="0020726F" w14:paraId="0EB9EDFD" w14:textId="77777777">
      <w:pPr>
        <w:pStyle w:val="Heading3"/>
        <w:rPr>
          <w:rFonts w:eastAsiaTheme="majorEastAsia"/>
          <w:i/>
        </w:rPr>
      </w:pPr>
      <w:bookmarkStart w:name="_Toc526345341" w:id="31"/>
      <w:bookmarkStart w:name="_Toc19870408" w:id="32"/>
      <w:bookmarkStart w:name="_Toc101261722" w:id="33"/>
      <w:bookmarkStart w:name="_Toc110434587" w:id="34"/>
      <w:r w:rsidRPr="00A05EC6">
        <w:rPr>
          <w:rFonts w:eastAsiaTheme="majorEastAsia"/>
          <w:i/>
        </w:rPr>
        <w:t>1.3.4</w:t>
      </w:r>
      <w:r w:rsidRPr="00A05EC6">
        <w:rPr>
          <w:rFonts w:eastAsiaTheme="majorEastAsia"/>
          <w:i/>
        </w:rPr>
        <w:tab/>
      </w:r>
      <w:r w:rsidRPr="00A05EC6">
        <w:rPr>
          <w:rFonts w:eastAsiaTheme="majorEastAsia"/>
          <w:i/>
        </w:rPr>
        <w:t>International standards</w:t>
      </w:r>
      <w:bookmarkEnd w:id="31"/>
      <w:bookmarkEnd w:id="32"/>
      <w:bookmarkEnd w:id="33"/>
      <w:bookmarkEnd w:id="34"/>
    </w:p>
    <w:p w:rsidRPr="0020726F" w:rsidR="0020726F" w:rsidP="0020726F" w:rsidRDefault="0020726F" w14:paraId="2730E098" w14:textId="5BEB3E88">
      <w:pPr>
        <w:rPr>
          <w:rFonts w:ascii="Arial" w:hAnsi="Arial" w:cs="Arial"/>
        </w:rPr>
      </w:pPr>
      <w:r w:rsidRPr="0020726F">
        <w:rPr>
          <w:rFonts w:ascii="Arial" w:hAnsi="Arial" w:cs="Arial"/>
        </w:rPr>
        <w:t>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Chemicals Codex.</w:t>
      </w:r>
    </w:p>
    <w:p w:rsidRPr="0020726F" w:rsidR="0020726F" w:rsidP="0020726F" w:rsidRDefault="0020726F" w14:paraId="3C3A2411" w14:textId="68699B5A">
      <w:pPr>
        <w:rPr>
          <w:rFonts w:ascii="Arial" w:hAnsi="Arial" w:eastAsia="Times New Roman" w:cs="Arial"/>
          <w:szCs w:val="24"/>
          <w:lang w:val="en-GB" w:bidi="en-US"/>
        </w:rPr>
      </w:pPr>
      <w:r w:rsidRPr="0020726F">
        <w:rPr>
          <w:rFonts w:ascii="Arial" w:hAnsi="Arial" w:cs="Arial"/>
        </w:rPr>
        <w:t xml:space="preserve">The applicant advised that the enzyme is approved for use as a processing aid in France, Denmark, Canada, Mexico, Brazil and the USA, the latter is where it has been determined as Generally Recognized as Safe (GRAS). </w:t>
      </w:r>
    </w:p>
    <w:p w:rsidRPr="00875D51" w:rsidR="00E26D23" w:rsidP="00FB3F90" w:rsidRDefault="00E26D23" w14:paraId="7E740A15" w14:textId="55550DCF">
      <w:pPr>
        <w:pStyle w:val="Heading3"/>
        <w:rPr>
          <w:rFonts w:eastAsiaTheme="majorEastAsia"/>
        </w:rPr>
      </w:pPr>
      <w:bookmarkStart w:name="_Toc286391007" w:id="35"/>
      <w:bookmarkStart w:name="_Toc300933423" w:id="36"/>
      <w:bookmarkStart w:name="_Toc370223468" w:id="37"/>
      <w:bookmarkStart w:name="_Toc110434588" w:id="38"/>
      <w:bookmarkStart w:name="_Toc175381432" w:id="39"/>
      <w:r w:rsidRPr="00875D51">
        <w:rPr>
          <w:rFonts w:eastAsiaTheme="majorEastAsia"/>
        </w:rPr>
        <w:t>1.4</w:t>
      </w:r>
      <w:r w:rsidRPr="00875D51">
        <w:rPr>
          <w:rFonts w:eastAsiaTheme="majorEastAsia"/>
        </w:rPr>
        <w:tab/>
      </w:r>
      <w:r w:rsidRPr="00875D51">
        <w:rPr>
          <w:rFonts w:eastAsiaTheme="majorEastAsia"/>
        </w:rPr>
        <w:t>Reasons for accepting Application</w:t>
      </w:r>
      <w:bookmarkEnd w:id="35"/>
      <w:bookmarkEnd w:id="36"/>
      <w:bookmarkEnd w:id="37"/>
      <w:bookmarkEnd w:id="38"/>
    </w:p>
    <w:bookmarkEnd w:id="39"/>
    <w:p w:rsidRPr="0020726F" w:rsidR="00E26D23" w:rsidP="5058D6E4" w:rsidRDefault="00E26D23" w14:paraId="44B3B9F8" w14:textId="6E4BB32E">
      <w:pPr>
        <w:widowControl w:val="0"/>
        <w:spacing w:after="0" w:line="240" w:lineRule="auto"/>
        <w:rPr>
          <w:rFonts w:ascii="Arial" w:hAnsi="Arial" w:eastAsia="Times New Roman" w:cs="Times New Roman"/>
          <w:lang w:val="en-GB" w:bidi="en-US"/>
        </w:rPr>
      </w:pPr>
      <w:r w:rsidRPr="5058D6E4">
        <w:rPr>
          <w:rFonts w:ascii="Arial" w:hAnsi="Arial" w:eastAsia="Times New Roman" w:cs="Times New Roman"/>
          <w:lang w:val="en-GB" w:bidi="en-US"/>
        </w:rPr>
        <w:t xml:space="preserve">The </w:t>
      </w:r>
      <w:r w:rsidRPr="5058D6E4" w:rsidR="0072750E">
        <w:rPr>
          <w:rFonts w:ascii="Arial" w:hAnsi="Arial" w:eastAsia="Times New Roman" w:cs="Times New Roman"/>
          <w:lang w:val="en-GB" w:bidi="en-US"/>
        </w:rPr>
        <w:t>a</w:t>
      </w:r>
      <w:r w:rsidRPr="5058D6E4">
        <w:rPr>
          <w:rFonts w:ascii="Arial" w:hAnsi="Arial" w:eastAsia="Times New Roman" w:cs="Times New Roman"/>
          <w:lang w:val="en-GB" w:bidi="en-US"/>
        </w:rPr>
        <w:t>pplication was accepted for assessment because:</w:t>
      </w:r>
    </w:p>
    <w:p w:rsidRPr="00E26D23" w:rsidR="00E26D23" w:rsidP="00E26D23" w:rsidRDefault="00E26D23" w14:paraId="3DF24020" w14:textId="77777777">
      <w:pPr>
        <w:widowControl w:val="0"/>
        <w:spacing w:after="0" w:line="240" w:lineRule="auto"/>
        <w:rPr>
          <w:rFonts w:ascii="Arial" w:hAnsi="Arial" w:eastAsia="Times New Roman" w:cs="Times New Roman"/>
          <w:szCs w:val="24"/>
          <w:lang w:val="en-GB" w:bidi="en-US"/>
        </w:rPr>
      </w:pPr>
    </w:p>
    <w:p w:rsidRPr="0020726F" w:rsidR="00E26D23" w:rsidP="5058D6E4" w:rsidRDefault="00E26D23" w14:paraId="1192EE15" w14:textId="397657E2">
      <w:pPr>
        <w:pStyle w:val="ListParagraph"/>
        <w:numPr>
          <w:ilvl w:val="0"/>
          <w:numId w:val="3"/>
        </w:numPr>
        <w:spacing w:after="0" w:line="240" w:lineRule="auto"/>
        <w:rPr>
          <w:rFonts w:ascii="Arial" w:hAnsi="Arial" w:eastAsia="Times New Roman" w:cs="Arial"/>
          <w:lang w:val="en-GB"/>
        </w:rPr>
      </w:pPr>
      <w:r w:rsidRPr="5058D6E4">
        <w:rPr>
          <w:rFonts w:ascii="Arial" w:hAnsi="Arial" w:eastAsia="Times New Roman" w:cs="Arial"/>
          <w:lang w:val="en-GB"/>
        </w:rPr>
        <w:t>it complied with the procedural requirements under subsection 22(2)</w:t>
      </w:r>
      <w:r w:rsidRPr="0020726F" w:rsidR="0020726F">
        <w:rPr>
          <w:rFonts w:ascii="Arial" w:hAnsi="Arial" w:cs="Arial"/>
          <w:shd w:val="clear" w:color="auto" w:fill="FFFFFF"/>
        </w:rPr>
        <w:t xml:space="preserve"> </w:t>
      </w:r>
      <w:r w:rsidRPr="0020726F" w:rsidR="0020726F">
        <w:rPr>
          <w:rStyle w:val="normaltextrun"/>
          <w:rFonts w:ascii="Arial" w:hAnsi="Arial" w:cs="Arial"/>
          <w:shd w:val="clear" w:color="auto" w:fill="FFFFFF"/>
        </w:rPr>
        <w:t xml:space="preserve">of the </w:t>
      </w:r>
      <w:r w:rsidRPr="5058D6E4" w:rsidR="0020726F">
        <w:rPr>
          <w:rStyle w:val="normaltextrun"/>
          <w:rFonts w:ascii="Arial" w:hAnsi="Arial" w:cs="Arial"/>
          <w:i/>
          <w:iCs/>
          <w:shd w:val="clear" w:color="auto" w:fill="FFFFFF"/>
        </w:rPr>
        <w:t>Food Standards Australia New Zealand Act 1991</w:t>
      </w:r>
      <w:r w:rsidRPr="0020726F" w:rsidR="0020726F">
        <w:rPr>
          <w:rStyle w:val="normaltextrun"/>
          <w:rFonts w:ascii="Arial" w:hAnsi="Arial" w:cs="Arial"/>
          <w:shd w:val="clear" w:color="auto" w:fill="FFFFFF"/>
        </w:rPr>
        <w:t xml:space="preserve"> (the FSANZ Act</w:t>
      </w:r>
      <w:r w:rsidRPr="0072750E" w:rsidR="0020726F">
        <w:rPr>
          <w:rStyle w:val="normaltextrun"/>
          <w:rFonts w:ascii="Arial" w:hAnsi="Arial" w:cs="Arial"/>
          <w:shd w:val="clear" w:color="auto" w:fill="FFFFFF"/>
        </w:rPr>
        <w:t>)</w:t>
      </w:r>
    </w:p>
    <w:p w:rsidRPr="0020726F" w:rsidR="00E26D23" w:rsidP="0020726F" w:rsidRDefault="00E26D23" w14:paraId="4CC46908" w14:textId="617C576C">
      <w:pPr>
        <w:pStyle w:val="ListParagraph"/>
        <w:numPr>
          <w:ilvl w:val="0"/>
          <w:numId w:val="3"/>
        </w:numPr>
        <w:spacing w:after="0" w:line="240" w:lineRule="auto"/>
        <w:rPr>
          <w:rFonts w:ascii="Arial" w:hAnsi="Arial" w:eastAsia="Times New Roman" w:cs="Arial"/>
          <w:szCs w:val="24"/>
          <w:lang w:val="en-GB"/>
        </w:rPr>
      </w:pPr>
      <w:r w:rsidRPr="0020726F">
        <w:rPr>
          <w:rFonts w:ascii="Arial" w:hAnsi="Arial" w:eastAsia="Times New Roman" w:cs="Arial"/>
          <w:szCs w:val="24"/>
          <w:lang w:val="en-GB"/>
        </w:rPr>
        <w:t>it related to a matter t</w:t>
      </w:r>
      <w:r w:rsidRPr="0020726F" w:rsidR="0020726F">
        <w:rPr>
          <w:rFonts w:ascii="Arial" w:hAnsi="Arial" w:eastAsia="Times New Roman" w:cs="Arial"/>
          <w:szCs w:val="24"/>
          <w:lang w:val="en-GB"/>
        </w:rPr>
        <w:t xml:space="preserve">hat </w:t>
      </w:r>
      <w:r w:rsidRPr="0020726F">
        <w:rPr>
          <w:rFonts w:ascii="Arial" w:hAnsi="Arial" w:eastAsia="Times New Roman" w:cs="Arial"/>
          <w:szCs w:val="24"/>
          <w:lang w:val="en-GB"/>
        </w:rPr>
        <w:t>warranted the variation of a food regulatory measure]</w:t>
      </w:r>
    </w:p>
    <w:p w:rsidRPr="00875D51" w:rsidR="00E26D23" w:rsidP="00FB3F90" w:rsidRDefault="00E26D23" w14:paraId="12C172A2" w14:textId="77777777">
      <w:pPr>
        <w:pStyle w:val="Heading3"/>
        <w:rPr>
          <w:rFonts w:eastAsiaTheme="majorEastAsia"/>
        </w:rPr>
      </w:pPr>
      <w:bookmarkStart w:name="_Toc370223469" w:id="40"/>
      <w:bookmarkStart w:name="_Toc110434589" w:id="41"/>
      <w:r w:rsidRPr="00875D51">
        <w:rPr>
          <w:rFonts w:eastAsiaTheme="majorEastAsia"/>
        </w:rPr>
        <w:t>1.5</w:t>
      </w:r>
      <w:r w:rsidRPr="00875D51">
        <w:rPr>
          <w:rFonts w:eastAsiaTheme="majorEastAsia"/>
        </w:rPr>
        <w:tab/>
      </w:r>
      <w:r w:rsidRPr="00875D51">
        <w:rPr>
          <w:rFonts w:eastAsiaTheme="majorEastAsia"/>
        </w:rPr>
        <w:t>Procedure for assessment</w:t>
      </w:r>
      <w:bookmarkEnd w:id="40"/>
      <w:bookmarkEnd w:id="41"/>
    </w:p>
    <w:p w:rsidRPr="0020726F" w:rsidR="00E26D23" w:rsidP="00E26D23" w:rsidRDefault="00E26D23" w14:paraId="22576754" w14:textId="74E26F4F">
      <w:pPr>
        <w:widowControl w:val="0"/>
        <w:spacing w:after="0" w:line="240" w:lineRule="auto"/>
        <w:rPr>
          <w:rFonts w:ascii="Arial" w:hAnsi="Arial" w:eastAsia="Times New Roman" w:cs="Times New Roman"/>
          <w:szCs w:val="24"/>
          <w:lang w:val="en-GB" w:bidi="en-US"/>
        </w:rPr>
      </w:pPr>
      <w:r w:rsidRPr="0020726F">
        <w:rPr>
          <w:rFonts w:ascii="Arial" w:hAnsi="Arial" w:eastAsia="Times New Roman" w:cs="Times New Roman"/>
          <w:szCs w:val="24"/>
          <w:lang w:val="en-GB" w:bidi="en-US"/>
        </w:rPr>
        <w:t xml:space="preserve">The </w:t>
      </w:r>
      <w:r w:rsidRPr="0020726F" w:rsidR="0020726F">
        <w:rPr>
          <w:rFonts w:ascii="Arial" w:hAnsi="Arial" w:eastAsia="Times New Roman" w:cs="Times New Roman"/>
          <w:szCs w:val="24"/>
          <w:lang w:val="en-GB" w:bidi="en-US"/>
        </w:rPr>
        <w:t>application</w:t>
      </w:r>
      <w:r w:rsidRPr="0020726F">
        <w:rPr>
          <w:rFonts w:ascii="Arial" w:hAnsi="Arial" w:eastAsia="Times New Roman" w:cs="Times New Roman"/>
          <w:szCs w:val="24"/>
          <w:lang w:val="en-GB" w:bidi="en-US"/>
        </w:rPr>
        <w:t xml:space="preserve"> was assessed under the </w:t>
      </w:r>
      <w:r w:rsidRPr="0020726F" w:rsidR="0020726F">
        <w:rPr>
          <w:rFonts w:ascii="Arial" w:hAnsi="Arial" w:eastAsia="Times New Roman" w:cs="Times New Roman"/>
          <w:szCs w:val="24"/>
          <w:lang w:val="en-GB" w:bidi="en-US"/>
        </w:rPr>
        <w:t>General</w:t>
      </w:r>
      <w:r w:rsidRPr="0020726F">
        <w:rPr>
          <w:rFonts w:ascii="Arial" w:hAnsi="Arial" w:eastAsia="Times New Roman" w:cs="Times New Roman"/>
          <w:szCs w:val="24"/>
          <w:lang w:val="en-GB" w:bidi="en-US"/>
        </w:rPr>
        <w:t xml:space="preserve"> Procedure.</w:t>
      </w:r>
    </w:p>
    <w:p w:rsidRPr="00875D51" w:rsidR="00E26D23" w:rsidP="00FB3F90" w:rsidRDefault="00E26D23" w14:paraId="0E23B705" w14:textId="77777777">
      <w:pPr>
        <w:pStyle w:val="Heading3"/>
        <w:rPr>
          <w:rFonts w:eastAsiaTheme="majorEastAsia"/>
        </w:rPr>
      </w:pPr>
      <w:bookmarkStart w:name="_Toc110434590" w:id="42"/>
      <w:r w:rsidRPr="00875D51">
        <w:rPr>
          <w:rFonts w:eastAsiaTheme="majorEastAsia"/>
        </w:rPr>
        <w:t>1.6</w:t>
      </w:r>
      <w:r w:rsidRPr="00875D51">
        <w:rPr>
          <w:rFonts w:eastAsiaTheme="majorEastAsia"/>
        </w:rPr>
        <w:tab/>
      </w:r>
      <w:r w:rsidRPr="00875D51">
        <w:rPr>
          <w:rFonts w:eastAsiaTheme="majorEastAsia"/>
        </w:rPr>
        <w:t>Decision</w:t>
      </w:r>
      <w:bookmarkEnd w:id="42"/>
    </w:p>
    <w:p w:rsidR="0072750E" w:rsidP="5058D6E4" w:rsidRDefault="0072750E" w14:paraId="27426C3A" w14:textId="2C727A13">
      <w:pPr>
        <w:widowControl w:val="0"/>
        <w:spacing w:after="0" w:line="240" w:lineRule="auto"/>
        <w:rPr>
          <w:rFonts w:ascii="Arial" w:hAnsi="Arial" w:eastAsia="Times New Roman" w:cs="Times New Roman"/>
          <w:lang w:val="en-GB" w:bidi="en-US"/>
        </w:rPr>
      </w:pPr>
      <w:r w:rsidRPr="5058D6E4">
        <w:rPr>
          <w:rFonts w:ascii="Arial" w:hAnsi="Arial" w:eastAsia="Times New Roman" w:cs="Times New Roman"/>
          <w:lang w:val="en-GB" w:bidi="en-US"/>
        </w:rPr>
        <w:t xml:space="preserve">For reasons set out in this report, FSANZ decided to approve a draft variation amending the Code to permit </w:t>
      </w:r>
      <w:r w:rsidRPr="5058D6E4">
        <w:rPr>
          <w:rFonts w:ascii="Arial" w:hAnsi="Arial" w:eastAsia="Calibri" w:cs="Arial"/>
          <w:lang w:eastAsia="en-AU"/>
        </w:rPr>
        <w:t xml:space="preserve">the use of this enzyme </w:t>
      </w:r>
      <w:r w:rsidRPr="5058D6E4">
        <w:rPr>
          <w:rFonts w:ascii="Arial" w:hAnsi="Arial" w:cs="Arial"/>
          <w:lang w:val="en-AU"/>
        </w:rPr>
        <w:t xml:space="preserve">as a processing aid </w:t>
      </w:r>
      <w:r w:rsidRPr="5058D6E4">
        <w:rPr>
          <w:rFonts w:ascii="Arial" w:hAnsi="Arial" w:cs="Arial"/>
        </w:rPr>
        <w:t xml:space="preserve">to catalyse the hydrolysis of </w:t>
      </w:r>
      <w:r w:rsidRPr="5058D6E4" w:rsidR="00F0590A">
        <w:rPr>
          <w:rFonts w:ascii="Arial" w:hAnsi="Arial" w:cs="Arial"/>
          <w:lang w:val="en-AU"/>
        </w:rPr>
        <w:t>peptide bonds during</w:t>
      </w:r>
      <w:r w:rsidRPr="5058D6E4">
        <w:rPr>
          <w:rFonts w:ascii="Arial" w:hAnsi="Arial" w:cs="Arial"/>
          <w:lang w:val="en-AU"/>
        </w:rPr>
        <w:t xml:space="preserve"> </w:t>
      </w:r>
      <w:r w:rsidRPr="5058D6E4">
        <w:rPr>
          <w:rFonts w:ascii="Arial" w:hAnsi="Arial" w:cs="Arial"/>
        </w:rPr>
        <w:t>the manufacture and/or processing of meat, vegetable and seafood products.</w:t>
      </w:r>
    </w:p>
    <w:p w:rsidR="0072750E" w:rsidP="5058D6E4" w:rsidRDefault="0072750E" w14:paraId="372187FC" w14:textId="77777777">
      <w:pPr>
        <w:widowControl w:val="0"/>
        <w:spacing w:after="0" w:line="240" w:lineRule="auto"/>
        <w:rPr>
          <w:rFonts w:ascii="Arial" w:hAnsi="Arial" w:eastAsia="Times New Roman" w:cs="Times New Roman"/>
          <w:lang w:val="en-GB" w:bidi="en-US"/>
        </w:rPr>
      </w:pPr>
    </w:p>
    <w:p w:rsidRPr="004E28A7" w:rsidR="00E26D23" w:rsidP="00E26D23" w:rsidRDefault="00E26D23" w14:paraId="0B30E275" w14:textId="25A7F2FD">
      <w:pPr>
        <w:widowControl w:val="0"/>
        <w:spacing w:after="0" w:line="240" w:lineRule="auto"/>
        <w:rPr>
          <w:rFonts w:ascii="Arial" w:hAnsi="Arial" w:eastAsia="Times New Roman" w:cs="Times New Roman"/>
          <w:szCs w:val="24"/>
          <w:lang w:val="en-GB" w:bidi="en-US"/>
        </w:rPr>
      </w:pPr>
      <w:r w:rsidRPr="004E28A7">
        <w:rPr>
          <w:rFonts w:ascii="Arial" w:hAnsi="Arial" w:eastAsia="Times New Roman" w:cs="Times New Roman"/>
          <w:szCs w:val="24"/>
          <w:lang w:val="en-GB" w:bidi="en-US"/>
        </w:rPr>
        <w:t>The draft</w:t>
      </w:r>
      <w:r w:rsidRPr="004E28A7" w:rsidR="0020726F">
        <w:rPr>
          <w:rFonts w:ascii="Arial" w:hAnsi="Arial" w:eastAsia="Times New Roman" w:cs="Times New Roman"/>
          <w:szCs w:val="24"/>
          <w:lang w:val="en-GB" w:bidi="en-US"/>
        </w:rPr>
        <w:t xml:space="preserve"> variation</w:t>
      </w:r>
      <w:r w:rsidRPr="004E28A7">
        <w:rPr>
          <w:rFonts w:ascii="Arial" w:hAnsi="Arial" w:eastAsia="Times New Roman" w:cs="Times New Roman"/>
          <w:szCs w:val="24"/>
          <w:lang w:val="en-GB" w:bidi="en-US"/>
        </w:rPr>
        <w:t xml:space="preserve"> as proposed following assessment was approved without change</w:t>
      </w:r>
      <w:r w:rsidRPr="004E28A7" w:rsidR="0020726F">
        <w:rPr>
          <w:rFonts w:ascii="Arial" w:hAnsi="Arial" w:eastAsia="Times New Roman" w:cs="Times New Roman"/>
          <w:szCs w:val="24"/>
          <w:lang w:val="en-GB" w:bidi="en-US"/>
        </w:rPr>
        <w:t>. The</w:t>
      </w:r>
      <w:r w:rsidRPr="004E28A7">
        <w:rPr>
          <w:rFonts w:ascii="Arial" w:hAnsi="Arial" w:eastAsia="Times New Roman" w:cs="Times New Roman"/>
          <w:szCs w:val="24"/>
          <w:lang w:val="en-GB" w:bidi="en-US"/>
        </w:rPr>
        <w:t xml:space="preserve"> variation</w:t>
      </w:r>
      <w:r w:rsidRPr="004E28A7" w:rsidR="0020726F">
        <w:rPr>
          <w:rFonts w:ascii="Arial" w:hAnsi="Arial" w:eastAsia="Times New Roman" w:cs="Times New Roman"/>
          <w:szCs w:val="24"/>
          <w:lang w:val="en-GB" w:bidi="en-US"/>
        </w:rPr>
        <w:t xml:space="preserve"> takes effect on gazettal</w:t>
      </w:r>
      <w:r w:rsidR="008A075F">
        <w:rPr>
          <w:rFonts w:ascii="Arial" w:hAnsi="Arial" w:eastAsia="Times New Roman" w:cs="Times New Roman"/>
          <w:szCs w:val="24"/>
          <w:lang w:val="en-GB" w:bidi="en-US"/>
        </w:rPr>
        <w:t xml:space="preserve">. </w:t>
      </w:r>
      <w:r w:rsidRPr="004E28A7">
        <w:rPr>
          <w:rFonts w:ascii="Arial" w:hAnsi="Arial" w:eastAsia="Times New Roman" w:cs="Times New Roman"/>
          <w:szCs w:val="24"/>
          <w:lang w:val="en-GB" w:bidi="en-US"/>
        </w:rPr>
        <w:t xml:space="preserve">The approved draft variation is at Attachment A. </w:t>
      </w:r>
    </w:p>
    <w:p w:rsidRPr="00E26D23" w:rsidR="00E26D23" w:rsidP="00E26D23" w:rsidRDefault="00E26D23" w14:paraId="6D6C5959" w14:textId="77777777">
      <w:pPr>
        <w:widowControl w:val="0"/>
        <w:spacing w:after="0" w:line="240" w:lineRule="auto"/>
        <w:rPr>
          <w:rFonts w:ascii="Arial" w:hAnsi="Arial" w:eastAsia="Times New Roman" w:cs="Times New Roman"/>
          <w:szCs w:val="24"/>
          <w:lang w:val="en-GB" w:bidi="en-US"/>
        </w:rPr>
      </w:pPr>
    </w:p>
    <w:p w:rsidRPr="007A73FB" w:rsidR="00E26D23" w:rsidP="346EAF37" w:rsidRDefault="00E26D23" w14:paraId="52C4FA92" w14:textId="65ABA852">
      <w:pPr>
        <w:widowControl w:val="0"/>
        <w:spacing w:after="0" w:line="240" w:lineRule="auto"/>
        <w:rPr>
          <w:rFonts w:ascii="Arial" w:hAnsi="Arial" w:eastAsia="Times New Roman" w:cs="Times New Roman"/>
          <w:u w:val="single"/>
          <w:lang w:val="en-GB" w:bidi="en-US"/>
        </w:rPr>
      </w:pPr>
      <w:r w:rsidRPr="346EAF37">
        <w:rPr>
          <w:rFonts w:ascii="Arial" w:hAnsi="Arial" w:eastAsia="Times New Roman" w:cs="Times New Roman"/>
          <w:lang w:val="en-GB" w:bidi="en-US"/>
        </w:rPr>
        <w:t xml:space="preserve">The related explanatory statement is at Attachment B. An explanatory statement is required to accompany an instrument if it is lodged on the Federal Register of Legislation. </w:t>
      </w:r>
    </w:p>
    <w:p w:rsidRPr="00875D51" w:rsidR="00E26D23" w:rsidP="00875D51" w:rsidRDefault="00E26D23" w14:paraId="69CDA2FB" w14:textId="77777777">
      <w:pPr>
        <w:pStyle w:val="Heading1"/>
        <w:keepLines w:val="0"/>
        <w:widowControl w:val="0"/>
        <w:spacing w:after="240" w:line="240" w:lineRule="auto"/>
        <w:ind w:left="851" w:hanging="851"/>
        <w:rPr>
          <w:rFonts w:ascii="Arial" w:hAnsi="Arial" w:eastAsia="Times New Roman" w:cs="Times New Roman"/>
          <w:b/>
          <w:bCs/>
          <w:color w:val="auto"/>
          <w:sz w:val="36"/>
          <w:szCs w:val="28"/>
          <w:lang w:val="en-GB"/>
        </w:rPr>
      </w:pPr>
      <w:bookmarkStart w:name="_Toc110434591" w:id="43"/>
      <w:bookmarkStart w:name="_Toc11735630" w:id="44"/>
      <w:bookmarkStart w:name="_Toc29883114" w:id="45"/>
      <w:bookmarkStart w:name="_Toc41906801" w:id="46"/>
      <w:bookmarkStart w:name="_Toc41907548" w:id="47"/>
      <w:bookmarkStart w:name="_Toc120358578" w:id="48"/>
      <w:bookmarkStart w:name="_Toc175381435" w:id="49"/>
      <w:bookmarkEnd w:id="5"/>
      <w:bookmarkEnd w:id="6"/>
      <w:bookmarkEnd w:id="7"/>
      <w:bookmarkEnd w:id="8"/>
      <w:bookmarkEnd w:id="9"/>
      <w:r w:rsidRPr="00875D51">
        <w:rPr>
          <w:rFonts w:ascii="Arial" w:hAnsi="Arial" w:eastAsia="Times New Roman" w:cs="Times New Roman"/>
          <w:b/>
          <w:bCs/>
          <w:color w:val="auto"/>
          <w:sz w:val="36"/>
          <w:szCs w:val="28"/>
          <w:lang w:val="en-GB"/>
        </w:rPr>
        <w:t>2</w:t>
      </w:r>
      <w:r w:rsidRPr="00875D51">
        <w:rPr>
          <w:rFonts w:ascii="Arial" w:hAnsi="Arial" w:eastAsia="Times New Roman" w:cs="Times New Roman"/>
          <w:b/>
          <w:bCs/>
          <w:color w:val="auto"/>
          <w:sz w:val="36"/>
          <w:szCs w:val="28"/>
          <w:lang w:val="en-GB"/>
        </w:rPr>
        <w:tab/>
      </w:r>
      <w:r w:rsidRPr="00875D51">
        <w:rPr>
          <w:rFonts w:ascii="Arial" w:hAnsi="Arial" w:eastAsia="Times New Roman" w:cs="Times New Roman"/>
          <w:b/>
          <w:bCs/>
          <w:color w:val="auto"/>
          <w:sz w:val="36"/>
          <w:szCs w:val="28"/>
          <w:lang w:val="en-GB"/>
        </w:rPr>
        <w:t>Summary of the findings</w:t>
      </w:r>
      <w:bookmarkEnd w:id="43"/>
    </w:p>
    <w:p w:rsidRPr="00875D51" w:rsidR="00E26D23" w:rsidP="00FB3F90" w:rsidRDefault="00E26D23" w14:paraId="10F25F43" w14:textId="7E8A407F">
      <w:pPr>
        <w:pStyle w:val="Heading3"/>
        <w:rPr>
          <w:rFonts w:eastAsiaTheme="majorEastAsia"/>
        </w:rPr>
      </w:pPr>
      <w:bookmarkStart w:name="_Toc300933438" w:id="50"/>
      <w:bookmarkStart w:name="_Toc370223471" w:id="51"/>
      <w:bookmarkStart w:name="_Toc370225386" w:id="52"/>
      <w:bookmarkStart w:name="_Toc110434592" w:id="53"/>
      <w:bookmarkStart w:name="_Toc286391009" w:id="54"/>
      <w:bookmarkStart w:name="_Toc300933425" w:id="55"/>
      <w:bookmarkStart w:name="_Toc309291838" w:id="56"/>
      <w:bookmarkStart w:name="_Toc309385455" w:id="57"/>
      <w:bookmarkStart w:name="_Toc120358583" w:id="58"/>
      <w:bookmarkStart w:name="_Toc175381440" w:id="59"/>
      <w:r w:rsidRPr="00875D51">
        <w:rPr>
          <w:rFonts w:eastAsiaTheme="majorEastAsia"/>
        </w:rPr>
        <w:t>2.1</w:t>
      </w:r>
      <w:r w:rsidRPr="00875D51">
        <w:rPr>
          <w:rFonts w:eastAsiaTheme="majorEastAsia"/>
        </w:rPr>
        <w:tab/>
      </w:r>
      <w:r w:rsidRPr="00875D51">
        <w:rPr>
          <w:rFonts w:eastAsiaTheme="majorEastAsia"/>
        </w:rPr>
        <w:t xml:space="preserve">Summary of issues raised </w:t>
      </w:r>
      <w:bookmarkEnd w:id="50"/>
      <w:r w:rsidRPr="00875D51">
        <w:rPr>
          <w:rFonts w:eastAsiaTheme="majorEastAsia"/>
        </w:rPr>
        <w:t>in submissions</w:t>
      </w:r>
      <w:bookmarkEnd w:id="51"/>
      <w:bookmarkEnd w:id="52"/>
      <w:bookmarkEnd w:id="53"/>
    </w:p>
    <w:p w:rsidR="00A50E6D" w:rsidP="7CF8B2AD" w:rsidRDefault="00A50E6D" w14:paraId="25D8FC48" w14:textId="47577F1E">
      <w:pPr>
        <w:pStyle w:val="paragraph"/>
        <w:spacing w:before="0" w:beforeAutospacing="0" w:after="0" w:afterAutospacing="0"/>
        <w:textAlignment w:val="baseline"/>
        <w:rPr>
          <w:rFonts w:ascii="Segoe UI" w:hAnsi="Segoe UI" w:cs="Segoe UI"/>
          <w:sz w:val="18"/>
          <w:szCs w:val="18"/>
        </w:rPr>
      </w:pPr>
      <w:r w:rsidRPr="346EAF37">
        <w:rPr>
          <w:rStyle w:val="normaltextrun"/>
          <w:rFonts w:ascii="Arial" w:hAnsi="Arial" w:cs="Arial"/>
          <w:sz w:val="22"/>
          <w:szCs w:val="22"/>
        </w:rPr>
        <w:t xml:space="preserve">FSANZ sought public comments on the draft variation included in the call for submissions report between </w:t>
      </w:r>
      <w:r w:rsidRPr="346EAF37">
        <w:rPr>
          <w:rFonts w:ascii="Arial" w:hAnsi="Arial"/>
          <w:sz w:val="22"/>
          <w:szCs w:val="22"/>
          <w:lang w:bidi="en-US"/>
        </w:rPr>
        <w:t>27</w:t>
      </w:r>
      <w:r w:rsidRPr="346EAF37">
        <w:rPr>
          <w:rFonts w:ascii="Arial" w:hAnsi="Arial"/>
          <w:lang w:bidi="en-US"/>
        </w:rPr>
        <w:t xml:space="preserve"> </w:t>
      </w:r>
      <w:r w:rsidRPr="346EAF37">
        <w:rPr>
          <w:rFonts w:ascii="Arial" w:hAnsi="Arial"/>
          <w:sz w:val="22"/>
          <w:szCs w:val="22"/>
          <w:lang w:bidi="en-US"/>
        </w:rPr>
        <w:t>April</w:t>
      </w:r>
      <w:r w:rsidRPr="346EAF37">
        <w:rPr>
          <w:rStyle w:val="normaltextrun"/>
          <w:rFonts w:ascii="Arial" w:hAnsi="Arial" w:cs="Arial"/>
          <w:sz w:val="22"/>
          <w:szCs w:val="22"/>
        </w:rPr>
        <w:t xml:space="preserve"> 2022 and 9 June 2022.</w:t>
      </w:r>
    </w:p>
    <w:p w:rsidRPr="00A50E6D" w:rsidR="00A50E6D" w:rsidP="00A50E6D" w:rsidRDefault="00A50E6D" w14:paraId="10530C7C" w14:textId="63691099">
      <w:pPr>
        <w:pStyle w:val="paragraph"/>
        <w:spacing w:before="0" w:beforeAutospacing="0" w:after="0" w:afterAutospacing="0"/>
        <w:textAlignment w:val="baseline"/>
        <w:rPr>
          <w:rFonts w:ascii="Arial" w:hAnsi="Arial" w:cs="Arial"/>
          <w:sz w:val="22"/>
          <w:szCs w:val="22"/>
        </w:rPr>
      </w:pPr>
    </w:p>
    <w:p w:rsidRPr="00A50E6D" w:rsidR="00E26D23" w:rsidP="5058D6E4" w:rsidRDefault="00A50E6D" w14:paraId="582DD8B6" w14:textId="7345A3CD">
      <w:pPr>
        <w:pStyle w:val="paragraph"/>
        <w:spacing w:before="0" w:beforeAutospacing="0" w:after="0" w:afterAutospacing="0"/>
        <w:textAlignment w:val="baseline"/>
        <w:rPr>
          <w:rFonts w:ascii="Arial" w:hAnsi="Arial"/>
          <w:lang w:bidi="en-US"/>
        </w:rPr>
      </w:pPr>
      <w:r w:rsidRPr="5058D6E4">
        <w:rPr>
          <w:rStyle w:val="normaltextrun"/>
          <w:rFonts w:ascii="Arial" w:hAnsi="Arial" w:cs="Arial"/>
          <w:sz w:val="22"/>
          <w:szCs w:val="22"/>
        </w:rPr>
        <w:t>FSANZ received two submissions</w:t>
      </w:r>
      <w:r w:rsidRPr="5058D6E4" w:rsidR="004A0DD4">
        <w:rPr>
          <w:rStyle w:val="normaltextrun"/>
          <w:rFonts w:ascii="Arial" w:hAnsi="Arial" w:cs="Arial"/>
          <w:sz w:val="22"/>
          <w:szCs w:val="22"/>
        </w:rPr>
        <w:t xml:space="preserve">, both </w:t>
      </w:r>
      <w:r w:rsidRPr="5058D6E4">
        <w:rPr>
          <w:rStyle w:val="normaltextrun"/>
          <w:rFonts w:ascii="Arial" w:hAnsi="Arial" w:cs="Arial"/>
          <w:sz w:val="22"/>
          <w:szCs w:val="22"/>
        </w:rPr>
        <w:t>from government agencies</w:t>
      </w:r>
      <w:r w:rsidR="00E84AA2">
        <w:rPr>
          <w:rStyle w:val="normaltextrun"/>
          <w:rFonts w:ascii="Arial" w:hAnsi="Arial" w:cs="Arial"/>
          <w:sz w:val="22"/>
          <w:szCs w:val="22"/>
        </w:rPr>
        <w:t xml:space="preserve"> (New Zealand Food Safety, </w:t>
      </w:r>
      <w:r w:rsidRPr="00E84AA2" w:rsidR="00E84AA2">
        <w:rPr>
          <w:rStyle w:val="normaltextrun"/>
          <w:rFonts w:ascii="Arial" w:hAnsi="Arial" w:cs="Arial"/>
          <w:sz w:val="22"/>
          <w:szCs w:val="22"/>
        </w:rPr>
        <w:t>The Victorian Department of Health</w:t>
      </w:r>
      <w:r w:rsidR="00E84AA2">
        <w:rPr>
          <w:rStyle w:val="normaltextrun"/>
          <w:rFonts w:ascii="Arial" w:hAnsi="Arial" w:cs="Arial"/>
          <w:sz w:val="22"/>
          <w:szCs w:val="22"/>
        </w:rPr>
        <w:t>)</w:t>
      </w:r>
      <w:r w:rsidRPr="5058D6E4" w:rsidR="004A0DD4">
        <w:rPr>
          <w:rStyle w:val="normaltextrun"/>
          <w:rFonts w:ascii="Arial" w:hAnsi="Arial" w:cs="Arial"/>
          <w:sz w:val="22"/>
          <w:szCs w:val="22"/>
        </w:rPr>
        <w:t>,</w:t>
      </w:r>
      <w:r w:rsidRPr="5058D6E4">
        <w:rPr>
          <w:rStyle w:val="normaltextrun"/>
          <w:rFonts w:ascii="Arial" w:hAnsi="Arial" w:cs="Arial"/>
          <w:sz w:val="22"/>
          <w:szCs w:val="22"/>
        </w:rPr>
        <w:t xml:space="preserve"> </w:t>
      </w:r>
      <w:r w:rsidR="00B35035">
        <w:rPr>
          <w:rStyle w:val="normaltextrun"/>
          <w:rFonts w:ascii="Arial" w:hAnsi="Arial" w:cs="Arial"/>
          <w:sz w:val="22"/>
          <w:szCs w:val="22"/>
        </w:rPr>
        <w:t xml:space="preserve">which </w:t>
      </w:r>
      <w:r w:rsidRPr="5058D6E4">
        <w:rPr>
          <w:rStyle w:val="normaltextrun"/>
          <w:rFonts w:ascii="Arial" w:hAnsi="Arial" w:cs="Arial"/>
          <w:sz w:val="22"/>
          <w:szCs w:val="22"/>
        </w:rPr>
        <w:t>supported the draft variation</w:t>
      </w:r>
      <w:r w:rsidRPr="5058D6E4" w:rsidR="004A0DD4">
        <w:rPr>
          <w:rStyle w:val="normaltextrun"/>
          <w:rFonts w:ascii="Arial" w:hAnsi="Arial" w:cs="Arial"/>
          <w:sz w:val="22"/>
          <w:szCs w:val="22"/>
        </w:rPr>
        <w:t>,</w:t>
      </w:r>
      <w:r w:rsidRPr="5058D6E4">
        <w:rPr>
          <w:rStyle w:val="normaltextrun"/>
          <w:rFonts w:ascii="Arial" w:hAnsi="Arial" w:cs="Arial"/>
          <w:sz w:val="22"/>
          <w:szCs w:val="22"/>
        </w:rPr>
        <w:t xml:space="preserve"> and raised no issues that needed to be considered and addressed.</w:t>
      </w:r>
    </w:p>
    <w:p w:rsidRPr="00875D51" w:rsidR="00E26D23" w:rsidP="00FB3F90" w:rsidRDefault="00E26D23" w14:paraId="71DF94F5" w14:textId="77777777">
      <w:pPr>
        <w:pStyle w:val="Heading3"/>
        <w:rPr>
          <w:rFonts w:eastAsiaTheme="majorEastAsia"/>
        </w:rPr>
      </w:pPr>
      <w:bookmarkStart w:name="_Toc370223472" w:id="60"/>
      <w:bookmarkStart w:name="_Toc370225387" w:id="61"/>
      <w:bookmarkStart w:name="_Toc110434593" w:id="62"/>
      <w:bookmarkStart w:name="_Toc309291812" w:id="63"/>
      <w:bookmarkStart w:name="_Toc175381442" w:id="64"/>
      <w:bookmarkEnd w:id="54"/>
      <w:bookmarkEnd w:id="55"/>
      <w:bookmarkEnd w:id="56"/>
      <w:bookmarkEnd w:id="57"/>
      <w:bookmarkEnd w:id="58"/>
      <w:bookmarkEnd w:id="59"/>
      <w:r w:rsidRPr="00875D51">
        <w:rPr>
          <w:rFonts w:eastAsiaTheme="majorEastAsia"/>
        </w:rPr>
        <w:t>2.2</w:t>
      </w:r>
      <w:r w:rsidRPr="00875D51">
        <w:rPr>
          <w:rFonts w:eastAsiaTheme="majorEastAsia"/>
        </w:rPr>
        <w:tab/>
      </w:r>
      <w:r w:rsidRPr="00875D51">
        <w:rPr>
          <w:rFonts w:eastAsiaTheme="majorEastAsia"/>
        </w:rPr>
        <w:t>Risk assessment</w:t>
      </w:r>
      <w:bookmarkEnd w:id="60"/>
      <w:bookmarkEnd w:id="61"/>
      <w:bookmarkEnd w:id="62"/>
      <w:r w:rsidRPr="00875D51">
        <w:rPr>
          <w:rFonts w:eastAsiaTheme="majorEastAsia"/>
        </w:rPr>
        <w:t xml:space="preserve"> </w:t>
      </w:r>
    </w:p>
    <w:p w:rsidRPr="00A50E6D" w:rsidR="00A50E6D" w:rsidP="00A50E6D" w:rsidRDefault="00A50E6D" w14:paraId="64887D05" w14:textId="28542BA4">
      <w:pPr>
        <w:rPr>
          <w:rFonts w:ascii="Arial" w:hAnsi="Arial" w:eastAsia="Calibri" w:cs="Arial"/>
        </w:rPr>
      </w:pPr>
      <w:bookmarkStart w:name="_Toc370223473" w:id="65"/>
      <w:bookmarkStart w:name="_Toc370225388" w:id="66"/>
      <w:bookmarkStart w:name="_Toc175381450" w:id="67"/>
      <w:bookmarkEnd w:id="63"/>
      <w:bookmarkEnd w:id="64"/>
      <w:r w:rsidRPr="7DF58A1D">
        <w:rPr>
          <w:rFonts w:ascii="Arial" w:hAnsi="Arial" w:cs="Arial"/>
        </w:rPr>
        <w:t xml:space="preserve">FSANZ has assessed the public health and safety risks associated with thermomycolin produced from a GM </w:t>
      </w:r>
      <w:r w:rsidRPr="7DF58A1D">
        <w:rPr>
          <w:rFonts w:ascii="Arial" w:hAnsi="Arial" w:cs="Arial"/>
          <w:i/>
          <w:iCs/>
        </w:rPr>
        <w:t>T</w:t>
      </w:r>
      <w:r w:rsidRPr="7DF58A1D" w:rsidR="00D37EA2">
        <w:rPr>
          <w:rFonts w:ascii="Arial" w:hAnsi="Arial" w:cs="Arial"/>
          <w:i/>
          <w:iCs/>
        </w:rPr>
        <w:t>.</w:t>
      </w:r>
      <w:r w:rsidRPr="7DF58A1D">
        <w:rPr>
          <w:rFonts w:ascii="Arial" w:hAnsi="Arial" w:cs="Arial"/>
          <w:i/>
          <w:iCs/>
        </w:rPr>
        <w:t xml:space="preserve"> reesei,</w:t>
      </w:r>
      <w:r w:rsidRPr="7DF58A1D">
        <w:rPr>
          <w:rFonts w:ascii="Arial" w:hAnsi="Arial" w:cs="Arial"/>
        </w:rPr>
        <w:t xml:space="preserve"> strain RF8963, containing the thermomycolin gene from </w:t>
      </w:r>
      <w:r w:rsidRPr="7DF58A1D">
        <w:rPr>
          <w:rFonts w:ascii="Arial" w:hAnsi="Arial" w:cs="Arial"/>
          <w:i/>
          <w:iCs/>
        </w:rPr>
        <w:t>M</w:t>
      </w:r>
      <w:r w:rsidRPr="7DF58A1D" w:rsidR="00D37EA2">
        <w:rPr>
          <w:rFonts w:ascii="Arial" w:hAnsi="Arial" w:cs="Arial"/>
          <w:i/>
          <w:iCs/>
        </w:rPr>
        <w:t>.</w:t>
      </w:r>
      <w:r w:rsidRPr="7DF58A1D">
        <w:rPr>
          <w:rFonts w:ascii="Arial" w:hAnsi="Arial" w:cs="Arial"/>
          <w:i/>
          <w:iCs/>
        </w:rPr>
        <w:t xml:space="preserve"> cinnamomea </w:t>
      </w:r>
      <w:r w:rsidRPr="7DF58A1D">
        <w:rPr>
          <w:rFonts w:ascii="Arial" w:hAnsi="Arial" w:cs="Arial"/>
        </w:rPr>
        <w:t>(see SD1).</w:t>
      </w:r>
      <w:r w:rsidR="00E84AA2">
        <w:rPr>
          <w:rFonts w:ascii="Arial" w:hAnsi="Arial" w:cs="Arial"/>
        </w:rPr>
        <w:t xml:space="preserve"> In its assessment, FSANZ’s </w:t>
      </w:r>
      <w:r w:rsidRPr="00E84AA2" w:rsidR="00E84AA2">
        <w:rPr>
          <w:rFonts w:ascii="Arial" w:hAnsi="Arial" w:cs="Arial"/>
        </w:rPr>
        <w:t>assessment was on the strain</w:t>
      </w:r>
      <w:r w:rsidR="00E84AA2">
        <w:rPr>
          <w:rFonts w:ascii="Arial" w:hAnsi="Arial" w:cs="Arial"/>
        </w:rPr>
        <w:t>, however only the</w:t>
      </w:r>
      <w:r w:rsidRPr="00E84AA2" w:rsidR="00E84AA2">
        <w:rPr>
          <w:rFonts w:ascii="Arial" w:hAnsi="Arial" w:cs="Arial"/>
        </w:rPr>
        <w:t xml:space="preserve"> species </w:t>
      </w:r>
      <w:r w:rsidR="00E84AA2">
        <w:rPr>
          <w:rFonts w:ascii="Arial" w:hAnsi="Arial" w:cs="Arial"/>
        </w:rPr>
        <w:t>will be listed in the Code.</w:t>
      </w:r>
      <w:r w:rsidRPr="00E84AA2" w:rsidR="00E84AA2">
        <w:rPr>
          <w:rFonts w:ascii="Arial" w:hAnsi="Arial" w:cs="Arial"/>
        </w:rPr>
        <w:t xml:space="preserve"> </w:t>
      </w:r>
    </w:p>
    <w:p w:rsidRPr="00A50E6D" w:rsidR="00A50E6D" w:rsidP="00A50E6D" w:rsidRDefault="00A50E6D" w14:paraId="6D815332" w14:textId="0CFF2E54">
      <w:pPr>
        <w:rPr>
          <w:rFonts w:ascii="Arial" w:hAnsi="Arial" w:eastAsia="Calibri" w:cs="Arial"/>
        </w:rPr>
      </w:pPr>
      <w:r w:rsidRPr="34882FB5">
        <w:rPr>
          <w:rFonts w:ascii="Arial" w:hAnsi="Arial" w:eastAsia="Calibri" w:cs="Arial"/>
        </w:rPr>
        <w:t xml:space="preserve">The proposed use of thermomycolin is as a processing aid </w:t>
      </w:r>
      <w:r w:rsidRPr="34882FB5">
        <w:rPr>
          <w:rFonts w:ascii="Arial" w:hAnsi="Arial" w:cs="Arial"/>
        </w:rPr>
        <w:t>to catalyse the hydrolysis of peptide bonds during</w:t>
      </w:r>
      <w:r w:rsidRPr="34882FB5">
        <w:rPr>
          <w:rFonts w:ascii="Arial" w:hAnsi="Arial" w:eastAsia="Calibri" w:cs="Arial"/>
        </w:rPr>
        <w:t xml:space="preserve"> the manufacture and/or processing of meat, vegetable and seafood products. </w:t>
      </w:r>
      <w:r w:rsidRPr="34882FB5">
        <w:rPr>
          <w:rFonts w:ascii="Arial" w:hAnsi="Arial" w:cs="Arial"/>
          <w:lang w:val="en-AU"/>
        </w:rPr>
        <w:t>Analysis of the evidence provided concluded that the use of the enzyme in the quantity and form proposed is technologically justified.</w:t>
      </w:r>
    </w:p>
    <w:p w:rsidRPr="00A50E6D" w:rsidR="00A50E6D" w:rsidP="00A50E6D" w:rsidRDefault="00A50E6D" w14:paraId="5D2063C2" w14:textId="18D117FD">
      <w:pPr>
        <w:rPr>
          <w:rFonts w:ascii="Arial" w:hAnsi="Arial" w:cs="Arial"/>
          <w:lang w:val="en-AU"/>
        </w:rPr>
      </w:pPr>
      <w:r w:rsidRPr="34882FB5">
        <w:rPr>
          <w:rFonts w:ascii="Arial" w:hAnsi="Arial" w:cs="Arial"/>
        </w:rPr>
        <w:t xml:space="preserve">No public health and safety concerns were identified in the assessment of thermomycolin sourced from a GM </w:t>
      </w:r>
      <w:r w:rsidRPr="34882FB5">
        <w:rPr>
          <w:rFonts w:ascii="Arial" w:hAnsi="Arial" w:cs="Arial"/>
          <w:i/>
        </w:rPr>
        <w:t>T. reesei,</w:t>
      </w:r>
      <w:r w:rsidRPr="34882FB5">
        <w:rPr>
          <w:rFonts w:ascii="Arial" w:hAnsi="Arial" w:cs="Arial"/>
        </w:rPr>
        <w:t xml:space="preserve"> strain RF8963, containing the thermomycolin gene from </w:t>
      </w:r>
      <w:r w:rsidRPr="34882FB5">
        <w:rPr>
          <w:rFonts w:ascii="Arial" w:hAnsi="Arial" w:cs="Arial"/>
          <w:i/>
        </w:rPr>
        <w:t>M. cinnamomea</w:t>
      </w:r>
      <w:r w:rsidRPr="34882FB5">
        <w:rPr>
          <w:rFonts w:ascii="Arial" w:hAnsi="Arial" w:cs="Arial"/>
        </w:rPr>
        <w:t xml:space="preserve"> under the proposed conditions of use. </w:t>
      </w:r>
      <w:r w:rsidRPr="34882FB5">
        <w:rPr>
          <w:rFonts w:ascii="Arial" w:hAnsi="Arial" w:cs="Arial"/>
          <w:lang w:val="en-AU"/>
        </w:rPr>
        <w:t>A microbiological assessment concluded that the GM host strain</w:t>
      </w:r>
      <w:r w:rsidRPr="34882FB5">
        <w:rPr>
          <w:rFonts w:ascii="Arial" w:hAnsi="Arial" w:cs="Arial"/>
        </w:rPr>
        <w:t xml:space="preserve"> is neither pathogenic nor toxigenic, and a</w:t>
      </w:r>
      <w:r w:rsidRPr="34882FB5">
        <w:rPr>
          <w:rFonts w:ascii="Arial" w:hAnsi="Arial" w:cs="Arial"/>
          <w:lang w:val="en-AU"/>
        </w:rPr>
        <w:t xml:space="preserve"> biotechnology assessment confirmed the genetic modification is as described and that the inserted gene has been stably introduced.</w:t>
      </w:r>
    </w:p>
    <w:p w:rsidRPr="00A50E6D" w:rsidR="00A50E6D" w:rsidP="00A50E6D" w:rsidRDefault="00A50E6D" w14:paraId="17FCFF4C" w14:textId="482C0548">
      <w:pPr>
        <w:rPr>
          <w:rFonts w:ascii="Arial" w:hAnsi="Arial" w:cs="Arial"/>
          <w:lang w:val="en-AU"/>
        </w:rPr>
      </w:pPr>
      <w:r w:rsidRPr="34882FB5">
        <w:rPr>
          <w:rFonts w:ascii="Arial" w:hAnsi="Arial" w:cs="Arial"/>
          <w:lang w:val="en-AU"/>
        </w:rPr>
        <w:t>A toxicological assessment combined with a dietary exposure assessment concluded the enzyme is safe under the proposed conditions of use. The toxicological assessment noted a degree of similarity between the enzyme and several allergens. However, considering the use and exposure, the risk of food allergy is likely to be low.</w:t>
      </w:r>
    </w:p>
    <w:p w:rsidRPr="00A50E6D" w:rsidR="00A50E6D" w:rsidP="00A50E6D" w:rsidRDefault="00A50E6D" w14:paraId="5FDAC7A5" w14:textId="77777777">
      <w:pPr>
        <w:rPr>
          <w:rFonts w:ascii="Arial" w:hAnsi="Arial" w:cs="Arial"/>
        </w:rPr>
      </w:pPr>
      <w:r w:rsidRPr="34882FB5">
        <w:rPr>
          <w:rFonts w:ascii="Arial" w:hAnsi="Arial" w:cs="Arial"/>
          <w:lang w:val="en-AU"/>
        </w:rPr>
        <w:t xml:space="preserve">In the absence of any identifiable hazard, an acceptable daily intake (ADI) ‘not specified’ is appropriate. </w:t>
      </w:r>
    </w:p>
    <w:p w:rsidRPr="00875D51" w:rsidR="00E26D23" w:rsidP="00FB3F90" w:rsidRDefault="00E26D23" w14:paraId="3F5D31C3" w14:textId="77777777">
      <w:pPr>
        <w:pStyle w:val="Heading3"/>
        <w:rPr>
          <w:rFonts w:eastAsiaTheme="majorEastAsia"/>
          <w:color w:val="auto"/>
        </w:rPr>
      </w:pPr>
      <w:bookmarkStart w:name="_Toc110434594" w:id="68"/>
      <w:r w:rsidRPr="34882FB5">
        <w:rPr>
          <w:rFonts w:eastAsiaTheme="majorEastAsia"/>
          <w:color w:val="auto"/>
        </w:rPr>
        <w:t>2.3</w:t>
      </w:r>
      <w:r>
        <w:rPr>
          <w:rFonts w:eastAsiaTheme="majorEastAsia"/>
        </w:rPr>
        <w:tab/>
      </w:r>
      <w:r w:rsidRPr="34882FB5">
        <w:rPr>
          <w:rFonts w:eastAsiaTheme="majorEastAsia"/>
          <w:color w:val="auto"/>
        </w:rPr>
        <w:t>Risk management</w:t>
      </w:r>
      <w:bookmarkEnd w:id="65"/>
      <w:bookmarkEnd w:id="66"/>
      <w:bookmarkEnd w:id="68"/>
    </w:p>
    <w:p w:rsidRPr="007E0C60" w:rsidR="007E0C60" w:rsidP="007E0C60" w:rsidRDefault="00D37EA2" w14:paraId="73EBCBC4" w14:textId="499FE83E">
      <w:pPr>
        <w:rPr>
          <w:rFonts w:ascii="Arial" w:hAnsi="Arial" w:cs="Arial"/>
        </w:rPr>
      </w:pPr>
      <w:bookmarkStart w:name="_Toc309291814" w:id="69"/>
      <w:bookmarkStart w:name="_Toc370225389" w:id="70"/>
      <w:bookmarkStart w:name="_Toc286391012" w:id="71"/>
      <w:bookmarkEnd w:id="67"/>
      <w:r w:rsidRPr="5058D6E4">
        <w:rPr>
          <w:rFonts w:ascii="Arial" w:hAnsi="Arial" w:cs="Arial"/>
        </w:rPr>
        <w:t xml:space="preserve">After assessing an application, </w:t>
      </w:r>
      <w:r w:rsidRPr="5058D6E4" w:rsidR="00D64163">
        <w:rPr>
          <w:rFonts w:ascii="Arial" w:hAnsi="Arial" w:cs="Arial"/>
        </w:rPr>
        <w:t>t</w:t>
      </w:r>
      <w:r w:rsidRPr="5058D6E4" w:rsidR="007E0C60">
        <w:rPr>
          <w:rFonts w:ascii="Arial" w:hAnsi="Arial" w:cs="Arial"/>
        </w:rPr>
        <w:t xml:space="preserve">he risk management options available to FSANZ </w:t>
      </w:r>
      <w:r w:rsidRPr="5058D6E4" w:rsidR="00D64163">
        <w:rPr>
          <w:rFonts w:ascii="Arial" w:hAnsi="Arial" w:cs="Arial"/>
        </w:rPr>
        <w:t>are</w:t>
      </w:r>
      <w:r w:rsidRPr="5058D6E4" w:rsidR="007E0C60">
        <w:rPr>
          <w:rFonts w:ascii="Arial" w:hAnsi="Arial" w:cs="Arial"/>
        </w:rPr>
        <w:t xml:space="preserve"> to:</w:t>
      </w:r>
    </w:p>
    <w:p w:rsidRPr="007E0C60" w:rsidR="007E0C60" w:rsidP="007E0C60" w:rsidRDefault="007E0C60" w14:paraId="37F50F92" w14:textId="77777777">
      <w:pPr>
        <w:pStyle w:val="FSBullet1"/>
        <w:numPr>
          <w:ilvl w:val="0"/>
          <w:numId w:val="6"/>
        </w:numPr>
        <w:ind w:left="567" w:hanging="567"/>
      </w:pPr>
      <w:r w:rsidRPr="007E0C60">
        <w:t>either reject the application, or</w:t>
      </w:r>
    </w:p>
    <w:p w:rsidR="00CA71E4" w:rsidP="00CA71E4" w:rsidRDefault="007E0C60" w14:paraId="29004E3F" w14:textId="77777777">
      <w:pPr>
        <w:pStyle w:val="FSBullet1"/>
        <w:numPr>
          <w:ilvl w:val="0"/>
          <w:numId w:val="6"/>
        </w:numPr>
        <w:ind w:left="567" w:hanging="567"/>
      </w:pPr>
      <w:r>
        <w:t>prepare a draft variation of the Code</w:t>
      </w:r>
      <w:r w:rsidR="00CA71E4">
        <w:t>.</w:t>
      </w:r>
    </w:p>
    <w:p w:rsidR="00CA71E4" w:rsidP="00CA71E4" w:rsidRDefault="00CA71E4" w14:paraId="152EAA4F" w14:textId="77777777">
      <w:pPr>
        <w:pStyle w:val="FSBullet1"/>
        <w:numPr>
          <w:ilvl w:val="0"/>
          <w:numId w:val="0"/>
        </w:numPr>
      </w:pPr>
    </w:p>
    <w:p w:rsidRPr="00B35035" w:rsidR="00681EEF" w:rsidP="5058D6E4" w:rsidRDefault="007E0C60" w14:paraId="4B0FCB96" w14:textId="07195CDF">
      <w:pPr>
        <w:rPr>
          <w:rFonts w:ascii="Arial" w:hAnsi="Arial" w:cs="Arial"/>
        </w:rPr>
      </w:pPr>
      <w:r w:rsidRPr="7DF58A1D">
        <w:rPr>
          <w:rFonts w:ascii="Arial" w:hAnsi="Arial" w:cs="Arial"/>
        </w:rPr>
        <w:t xml:space="preserve">The Risk and Technical Assessment concluded that the use of </w:t>
      </w:r>
      <w:r w:rsidRPr="7DF58A1D" w:rsidR="00BE017A">
        <w:rPr>
          <w:rFonts w:ascii="Arial" w:hAnsi="Arial" w:cs="Arial"/>
        </w:rPr>
        <w:t xml:space="preserve">the </w:t>
      </w:r>
      <w:r w:rsidRPr="7DF58A1D">
        <w:rPr>
          <w:rFonts w:ascii="Arial" w:hAnsi="Arial" w:cs="Arial"/>
        </w:rPr>
        <w:t>enzyme</w:t>
      </w:r>
      <w:r w:rsidRPr="7DF58A1D" w:rsidR="00BE017A">
        <w:rPr>
          <w:rFonts w:ascii="Arial" w:hAnsi="Arial" w:cs="Arial"/>
        </w:rPr>
        <w:t xml:space="preserve"> thermomycolin (EC 3.4.21.65) sourced from a GM </w:t>
      </w:r>
      <w:r w:rsidRPr="7DF58A1D" w:rsidR="00BE017A">
        <w:rPr>
          <w:rFonts w:ascii="Arial" w:hAnsi="Arial" w:cs="Arial"/>
          <w:i/>
          <w:iCs/>
        </w:rPr>
        <w:t>T. reesei</w:t>
      </w:r>
      <w:r w:rsidRPr="7DF58A1D" w:rsidR="00BE017A">
        <w:rPr>
          <w:rFonts w:ascii="Arial" w:hAnsi="Arial" w:cs="Arial"/>
        </w:rPr>
        <w:t xml:space="preserve">, strain RF8963, containing the thermomycolin gene from </w:t>
      </w:r>
      <w:r w:rsidRPr="7DF58A1D" w:rsidR="00BE017A">
        <w:rPr>
          <w:rFonts w:ascii="Arial" w:hAnsi="Arial" w:cs="Arial"/>
          <w:i/>
          <w:iCs/>
        </w:rPr>
        <w:t>M. cinnamomea</w:t>
      </w:r>
      <w:r w:rsidRPr="7DF58A1D" w:rsidR="00BE017A">
        <w:rPr>
          <w:rFonts w:ascii="Arial" w:hAnsi="Arial" w:cs="Arial"/>
        </w:rPr>
        <w:t>,</w:t>
      </w:r>
      <w:r w:rsidRPr="7DF58A1D">
        <w:rPr>
          <w:rFonts w:ascii="Arial" w:hAnsi="Arial" w:cs="Arial"/>
        </w:rPr>
        <w:t xml:space="preserve"> is technologically justified and there are no concerns when used </w:t>
      </w:r>
      <w:r w:rsidRPr="00B35035">
        <w:rPr>
          <w:rFonts w:ascii="Arial" w:hAnsi="Arial" w:cs="Arial"/>
        </w:rPr>
        <w:t xml:space="preserve">for its stated purpose, at levels consistent with GMP. </w:t>
      </w:r>
    </w:p>
    <w:p w:rsidRPr="00B35035" w:rsidR="00B35035" w:rsidP="00B35035" w:rsidRDefault="00230896" w14:paraId="1CDA264E" w14:textId="13233E50">
      <w:pPr>
        <w:rPr>
          <w:rFonts w:ascii="Arial" w:hAnsi="Arial" w:cs="Arial"/>
          <w:lang w:val="en-GB"/>
        </w:rPr>
      </w:pPr>
      <w:r w:rsidRPr="00B35035">
        <w:rPr>
          <w:rFonts w:ascii="Arial" w:hAnsi="Arial" w:cs="Arial"/>
        </w:rPr>
        <w:lastRenderedPageBreak/>
        <w:t xml:space="preserve">For the reasons listed below and in SD1, FSANZ decided to prepare a draft variation (see Attachment A) to permit </w:t>
      </w:r>
      <w:r w:rsidRPr="00B35035" w:rsidR="00BE017A">
        <w:rPr>
          <w:rFonts w:ascii="Arial" w:hAnsi="Arial" w:cs="Arial"/>
        </w:rPr>
        <w:t>the use of this enzyme</w:t>
      </w:r>
      <w:r w:rsidRPr="00B35035" w:rsidR="00F3093E">
        <w:rPr>
          <w:rFonts w:ascii="Arial" w:hAnsi="Arial" w:cs="Arial"/>
        </w:rPr>
        <w:t xml:space="preserve"> </w:t>
      </w:r>
      <w:r w:rsidRPr="00B35035" w:rsidR="00681EEF">
        <w:rPr>
          <w:rFonts w:ascii="Arial" w:hAnsi="Arial" w:cs="Arial"/>
        </w:rPr>
        <w:t>as a processing aid</w:t>
      </w:r>
      <w:r w:rsidRPr="00B35035" w:rsidR="00F3093E">
        <w:rPr>
          <w:rFonts w:ascii="Arial" w:hAnsi="Arial" w:cs="Arial"/>
        </w:rPr>
        <w:t xml:space="preserve"> </w:t>
      </w:r>
      <w:r w:rsidRPr="00B35035" w:rsidR="00E116D0">
        <w:rPr>
          <w:rFonts w:ascii="Arial" w:hAnsi="Arial" w:cs="Arial"/>
        </w:rPr>
        <w:t xml:space="preserve">to catalyse the hydrolysis of </w:t>
      </w:r>
      <w:r w:rsidRPr="00B35035" w:rsidR="00157E0B">
        <w:rPr>
          <w:rFonts w:ascii="Arial" w:hAnsi="Arial" w:cs="Arial"/>
          <w:lang w:val="en-AU"/>
        </w:rPr>
        <w:t>peptide bonds</w:t>
      </w:r>
      <w:r w:rsidRPr="00B35035" w:rsidR="00E116D0">
        <w:rPr>
          <w:rFonts w:ascii="Arial" w:hAnsi="Arial" w:cs="Arial"/>
          <w:lang w:val="en-AU"/>
        </w:rPr>
        <w:t xml:space="preserve"> </w:t>
      </w:r>
      <w:r w:rsidRPr="00B35035" w:rsidR="00157E0B">
        <w:rPr>
          <w:rFonts w:ascii="Arial" w:hAnsi="Arial" w:cs="Arial"/>
          <w:lang w:val="en-AU"/>
        </w:rPr>
        <w:t>during</w:t>
      </w:r>
      <w:r w:rsidRPr="00B35035" w:rsidR="00E116D0">
        <w:rPr>
          <w:rFonts w:ascii="Arial" w:hAnsi="Arial" w:cs="Arial"/>
          <w:lang w:val="en-AU"/>
        </w:rPr>
        <w:t xml:space="preserve"> </w:t>
      </w:r>
      <w:r w:rsidRPr="00B35035" w:rsidR="00E116D0">
        <w:rPr>
          <w:rFonts w:ascii="Arial" w:hAnsi="Arial" w:cs="Arial"/>
        </w:rPr>
        <w:t>the manufacture and/or processing of meat, vegetable and seafood products</w:t>
      </w:r>
      <w:r w:rsidRPr="00B35035" w:rsidR="00681EEF">
        <w:rPr>
          <w:rFonts w:ascii="Arial" w:hAnsi="Arial" w:cs="Arial"/>
        </w:rPr>
        <w:t xml:space="preserve">. </w:t>
      </w:r>
    </w:p>
    <w:p w:rsidRPr="007E0C60" w:rsidR="007E0C60" w:rsidP="00B35035" w:rsidRDefault="007E0C60" w14:paraId="47D6932E" w14:textId="192A8943">
      <w:pPr>
        <w:rPr>
          <w:rFonts w:ascii="Arial" w:hAnsi="Arial" w:cs="Arial"/>
        </w:rPr>
      </w:pPr>
      <w:r w:rsidRPr="00B35035">
        <w:rPr>
          <w:rFonts w:ascii="Arial" w:hAnsi="Arial" w:cs="Arial"/>
        </w:rPr>
        <w:t>Other risk management considerations for this application are related to enzyme</w:t>
      </w:r>
      <w:r w:rsidRPr="007E0C60">
        <w:rPr>
          <w:rFonts w:ascii="Arial" w:hAnsi="Arial" w:cs="Arial"/>
        </w:rPr>
        <w:t xml:space="preserve"> nomenclature and labelling, which are discussed below. The regulatory</w:t>
      </w:r>
      <w:r w:rsidR="004E28A7">
        <w:rPr>
          <w:rFonts w:ascii="Arial" w:hAnsi="Arial" w:cs="Arial"/>
        </w:rPr>
        <w:t xml:space="preserve"> options</w:t>
      </w:r>
      <w:r w:rsidRPr="00B35035" w:rsidR="004E28A7">
        <w:rPr>
          <w:rFonts w:ascii="Arial" w:hAnsi="Arial" w:cs="Arial"/>
          <w:lang w:val="en-AU"/>
        </w:rPr>
        <w:t xml:space="preserve"> analysed</w:t>
      </w:r>
      <w:r w:rsidR="004E28A7">
        <w:rPr>
          <w:rFonts w:ascii="Arial" w:hAnsi="Arial" w:cs="Arial"/>
        </w:rPr>
        <w:t xml:space="preserve"> in Section 2.5</w:t>
      </w:r>
      <w:r w:rsidRPr="007E0C60">
        <w:rPr>
          <w:rFonts w:ascii="Arial" w:hAnsi="Arial" w:cs="Arial"/>
        </w:rPr>
        <w:t>.1.1 of this report take account of the safety of the enzyme.</w:t>
      </w:r>
    </w:p>
    <w:p w:rsidRPr="00A05EC6" w:rsidR="007E0C60" w:rsidP="007E0C60" w:rsidRDefault="007E0C60" w14:paraId="5E62C551" w14:textId="005B88E5">
      <w:pPr>
        <w:pStyle w:val="Heading3"/>
        <w:rPr>
          <w:rFonts w:eastAsiaTheme="majorEastAsia"/>
          <w:i/>
        </w:rPr>
      </w:pPr>
      <w:bookmarkStart w:name="_Toc87259493" w:id="72"/>
      <w:bookmarkStart w:name="_Toc28004034" w:id="73"/>
      <w:bookmarkStart w:name="_Toc505939265" w:id="74"/>
      <w:bookmarkStart w:name="_Toc486000623" w:id="75"/>
      <w:bookmarkStart w:name="_Toc479146887" w:id="76"/>
      <w:bookmarkStart w:name="_Toc101261728" w:id="77"/>
      <w:bookmarkStart w:name="_Toc110434595" w:id="78"/>
      <w:r w:rsidRPr="00A05EC6">
        <w:rPr>
          <w:rFonts w:eastAsiaTheme="majorEastAsia"/>
          <w:i/>
        </w:rPr>
        <w:t>2.3.1</w:t>
      </w:r>
      <w:r w:rsidRPr="00A05EC6">
        <w:rPr>
          <w:rFonts w:eastAsiaTheme="majorEastAsia"/>
          <w:i/>
        </w:rPr>
        <w:tab/>
      </w:r>
      <w:r w:rsidRPr="00A05EC6">
        <w:rPr>
          <w:rFonts w:eastAsiaTheme="majorEastAsia"/>
          <w:i/>
        </w:rPr>
        <w:t>Regulatory approval for enzymes</w:t>
      </w:r>
      <w:bookmarkEnd w:id="72"/>
      <w:bookmarkEnd w:id="73"/>
      <w:bookmarkEnd w:id="74"/>
      <w:bookmarkEnd w:id="75"/>
      <w:bookmarkEnd w:id="76"/>
      <w:bookmarkEnd w:id="77"/>
      <w:bookmarkEnd w:id="78"/>
    </w:p>
    <w:p w:rsidRPr="007E0C60" w:rsidR="007E0C60" w:rsidP="007E0C60" w:rsidRDefault="007E0C60" w14:paraId="0E3894C9" w14:textId="77777777">
      <w:pPr>
        <w:rPr>
          <w:rFonts w:ascii="Arial" w:hAnsi="Arial" w:cs="Arial"/>
        </w:rPr>
      </w:pPr>
      <w:r w:rsidRPr="007E0C60">
        <w:rPr>
          <w:rFonts w:ascii="Arial" w:hAnsi="Arial" w:cs="Arial"/>
        </w:rPr>
        <w:t>As stated above, FSANZ has prepared a draft variation to permit the use of the enzyme as a processing aid in the manufacture and/or processing of meat, vegetable and seafood products. 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sidRPr="007E0C60">
        <w:rPr>
          <w:rStyle w:val="FootnoteReference"/>
          <w:rFonts w:ascii="Arial" w:hAnsi="Arial" w:cs="Arial"/>
        </w:rPr>
        <w:footnoteReference w:id="5"/>
      </w:r>
      <w:r w:rsidRPr="007E0C60">
        <w:rPr>
          <w:rFonts w:ascii="Arial" w:hAnsi="Arial" w:cs="Arial"/>
        </w:rPr>
        <w:t xml:space="preserve">. </w:t>
      </w:r>
    </w:p>
    <w:p w:rsidRPr="00A05EC6" w:rsidR="007E0C60" w:rsidP="007E0C60" w:rsidRDefault="007E0C60" w14:paraId="2BB0AD20" w14:textId="7280DF02">
      <w:pPr>
        <w:pStyle w:val="Heading3"/>
        <w:rPr>
          <w:rFonts w:eastAsiaTheme="majorEastAsia"/>
          <w:i/>
        </w:rPr>
      </w:pPr>
      <w:bookmarkStart w:name="_Toc526345348" w:id="79"/>
      <w:bookmarkStart w:name="_Toc525216783" w:id="80"/>
      <w:bookmarkStart w:name="_Toc522528749" w:id="81"/>
      <w:bookmarkStart w:name="_Toc505939266" w:id="82"/>
      <w:bookmarkStart w:name="_Toc19870415" w:id="83"/>
      <w:bookmarkStart w:name="_Toc101261729" w:id="84"/>
      <w:bookmarkStart w:name="_Toc110434596" w:id="85"/>
      <w:bookmarkStart w:name="_Toc438728880" w:id="86"/>
      <w:bookmarkStart w:name="_Toc422314550" w:id="87"/>
      <w:bookmarkStart w:name="_Toc408481344" w:id="88"/>
      <w:bookmarkStart w:name="_Toc402946766" w:id="89"/>
      <w:bookmarkStart w:name="_Toc393271473" w:id="90"/>
      <w:r w:rsidRPr="00A05EC6">
        <w:rPr>
          <w:rFonts w:eastAsiaTheme="majorEastAsia"/>
          <w:i/>
        </w:rPr>
        <w:t>2.3.2</w:t>
      </w:r>
      <w:r w:rsidRPr="00A05EC6">
        <w:rPr>
          <w:rFonts w:eastAsiaTheme="majorEastAsia"/>
          <w:i/>
        </w:rPr>
        <w:tab/>
      </w:r>
      <w:r w:rsidRPr="00A05EC6">
        <w:rPr>
          <w:rFonts w:eastAsiaTheme="majorEastAsia"/>
          <w:i/>
        </w:rPr>
        <w:t>Enzyme and source microorganism nomenclature</w:t>
      </w:r>
      <w:bookmarkEnd w:id="79"/>
      <w:bookmarkEnd w:id="80"/>
      <w:bookmarkEnd w:id="81"/>
      <w:bookmarkEnd w:id="82"/>
      <w:bookmarkEnd w:id="83"/>
      <w:bookmarkEnd w:id="84"/>
      <w:bookmarkEnd w:id="85"/>
      <w:r w:rsidRPr="00A05EC6">
        <w:rPr>
          <w:rFonts w:eastAsiaTheme="majorEastAsia"/>
          <w:i/>
        </w:rPr>
        <w:t xml:space="preserve"> </w:t>
      </w:r>
      <w:bookmarkEnd w:id="86"/>
      <w:bookmarkEnd w:id="87"/>
      <w:bookmarkEnd w:id="88"/>
      <w:bookmarkEnd w:id="89"/>
      <w:bookmarkEnd w:id="90"/>
    </w:p>
    <w:p w:rsidRPr="007E0C60" w:rsidR="007E0C60" w:rsidP="007E0C60" w:rsidRDefault="007E0C60" w14:paraId="5D686491" w14:textId="4E30B258">
      <w:pPr>
        <w:rPr>
          <w:rFonts w:ascii="Arial" w:hAnsi="Arial" w:cs="Arial"/>
        </w:rPr>
      </w:pPr>
      <w:r w:rsidRPr="7DF58A1D">
        <w:rPr>
          <w:rFonts w:ascii="Arial" w:hAnsi="Arial" w:cs="Arial"/>
        </w:rPr>
        <w:t xml:space="preserve">FSANZ notes that for this serine endopeptidase classified as EC 3.4.21.65 by the IUBMB, the internationally recognised authority for enzyme nomenclature, uses the accepted name thermomycolin </w:t>
      </w:r>
      <w:r w:rsidRPr="7DF58A1D">
        <w:rPr>
          <w:rFonts w:ascii="Arial" w:hAnsi="Arial" w:cs="Arial"/>
          <w:lang w:val="en-AU" w:eastAsia="en-AU"/>
        </w:rPr>
        <w:t>(IUBMB 2022)</w:t>
      </w:r>
      <w:r w:rsidRPr="7DF58A1D">
        <w:rPr>
          <w:rFonts w:ascii="Arial" w:hAnsi="Arial" w:cs="Arial"/>
        </w:rPr>
        <w:t xml:space="preserve">. </w:t>
      </w:r>
      <w:r w:rsidRPr="7DF58A1D" w:rsidR="0060561D">
        <w:rPr>
          <w:rFonts w:ascii="Arial" w:hAnsi="Arial" w:cs="Arial"/>
        </w:rPr>
        <w:t>T</w:t>
      </w:r>
      <w:r w:rsidRPr="7DF58A1D">
        <w:rPr>
          <w:rFonts w:ascii="Arial" w:hAnsi="Arial" w:cs="Arial"/>
        </w:rPr>
        <w:t xml:space="preserve">hermomycolin (EC 3.4.21.65) </w:t>
      </w:r>
      <w:r w:rsidRPr="7DF58A1D" w:rsidR="0060561D">
        <w:rPr>
          <w:rFonts w:ascii="Arial" w:hAnsi="Arial" w:cs="Arial"/>
        </w:rPr>
        <w:t>will</w:t>
      </w:r>
      <w:r w:rsidRPr="7DF58A1D">
        <w:rPr>
          <w:rFonts w:ascii="Arial" w:hAnsi="Arial" w:cs="Arial"/>
        </w:rPr>
        <w:t xml:space="preserve"> be listed in the table to subsection in S18—9(3). </w:t>
      </w:r>
    </w:p>
    <w:p w:rsidRPr="007E0C60" w:rsidR="007E0C60" w:rsidP="007E0C60" w:rsidRDefault="007E0C60" w14:paraId="08E70152" w14:textId="1FE73622">
      <w:pPr>
        <w:rPr>
          <w:rFonts w:ascii="Arial" w:hAnsi="Arial" w:cs="Arial"/>
        </w:rPr>
      </w:pPr>
      <w:r w:rsidRPr="7DF58A1D">
        <w:rPr>
          <w:rFonts w:ascii="Arial" w:hAnsi="Arial" w:cs="Arial"/>
        </w:rPr>
        <w:t xml:space="preserve">The host organism species, </w:t>
      </w:r>
      <w:r w:rsidRPr="7DF58A1D">
        <w:rPr>
          <w:rFonts w:ascii="Arial" w:hAnsi="Arial" w:cs="Arial"/>
          <w:i/>
          <w:iCs/>
        </w:rPr>
        <w:t>T. reesei,</w:t>
      </w:r>
      <w:r w:rsidRPr="7DF58A1D">
        <w:rPr>
          <w:rFonts w:ascii="Arial" w:hAnsi="Arial" w:cs="Arial"/>
        </w:rPr>
        <w:t xml:space="preserve"> is a commonly listed microorganism within Schedule 18. The nomenclature of the gene donor microorganism </w:t>
      </w:r>
      <w:r w:rsidRPr="7DF58A1D">
        <w:rPr>
          <w:rFonts w:ascii="Arial" w:hAnsi="Arial" w:cs="Arial"/>
          <w:i/>
          <w:iCs/>
        </w:rPr>
        <w:t xml:space="preserve">M. cinnamomea </w:t>
      </w:r>
      <w:r w:rsidRPr="7DF58A1D">
        <w:rPr>
          <w:rFonts w:ascii="Arial" w:hAnsi="Arial" w:cs="Arial"/>
        </w:rPr>
        <w:t>was confirmed as being appropriate as listed in the application (see section 3.2 of SD1).</w:t>
      </w:r>
    </w:p>
    <w:p w:rsidRPr="00A05EC6" w:rsidR="007E0C60" w:rsidP="007E0C60" w:rsidRDefault="007E0C60" w14:paraId="212A56D2" w14:textId="2E559B86">
      <w:pPr>
        <w:pStyle w:val="Heading3"/>
        <w:rPr>
          <w:rFonts w:eastAsiaTheme="majorEastAsia"/>
          <w:i/>
        </w:rPr>
      </w:pPr>
      <w:bookmarkStart w:name="_Toc59089310" w:id="91"/>
      <w:bookmarkStart w:name="_Toc83719050" w:id="92"/>
      <w:bookmarkStart w:name="_Toc101261730" w:id="93"/>
      <w:bookmarkStart w:name="_Toc110434597" w:id="94"/>
      <w:r w:rsidRPr="00A05EC6">
        <w:rPr>
          <w:rFonts w:eastAsiaTheme="majorEastAsia"/>
          <w:i/>
        </w:rPr>
        <w:t>2.3.3</w:t>
      </w:r>
      <w:r w:rsidRPr="00A05EC6">
        <w:rPr>
          <w:rFonts w:eastAsiaTheme="majorEastAsia"/>
          <w:i/>
        </w:rPr>
        <w:tab/>
      </w:r>
      <w:r w:rsidRPr="00A05EC6">
        <w:rPr>
          <w:rFonts w:eastAsiaTheme="majorEastAsia"/>
          <w:i/>
        </w:rPr>
        <w:t>Labelling requirements</w:t>
      </w:r>
      <w:bookmarkEnd w:id="91"/>
      <w:bookmarkEnd w:id="92"/>
      <w:bookmarkEnd w:id="93"/>
      <w:bookmarkEnd w:id="94"/>
    </w:p>
    <w:p w:rsidRPr="007E0C60" w:rsidR="007E0C60" w:rsidP="007E0C60" w:rsidRDefault="007E0C60" w14:paraId="70517A52" w14:textId="07F7346A">
      <w:pPr>
        <w:rPr>
          <w:rFonts w:ascii="Arial" w:hAnsi="Arial" w:cs="Arial"/>
        </w:rPr>
      </w:pPr>
      <w:r w:rsidRPr="79B1AA16">
        <w:rPr>
          <w:rFonts w:ascii="Arial" w:hAnsi="Arial" w:cs="Arial"/>
        </w:rPr>
        <w:t>The generic exemption from listing processing aids in the statement of ingredients will apply to foods produced using this processing aid (see section 1.3.3 above), unless other requ</w:t>
      </w:r>
      <w:r w:rsidR="009D0A22">
        <w:rPr>
          <w:rFonts w:ascii="Arial" w:hAnsi="Arial" w:cs="Arial"/>
        </w:rPr>
        <w:t>irements apply (see Sections 2.3.3.1 and 2.3</w:t>
      </w:r>
      <w:r w:rsidRPr="79B1AA16">
        <w:rPr>
          <w:rFonts w:ascii="Arial" w:hAnsi="Arial" w:cs="Arial"/>
        </w:rPr>
        <w:t>.3.2 below).</w:t>
      </w:r>
      <w:bookmarkStart w:name="_Toc59089311" w:id="95"/>
    </w:p>
    <w:p w:rsidRPr="00A05EC6" w:rsidR="007E0C60" w:rsidP="007E0C60" w:rsidRDefault="007E0C60" w14:paraId="00CE994C" w14:textId="27C4AF0F">
      <w:pPr>
        <w:pStyle w:val="Heading3"/>
        <w:rPr>
          <w:b w:val="0"/>
          <w:i/>
          <w:iCs/>
          <w:color w:val="auto"/>
          <w:szCs w:val="22"/>
        </w:rPr>
      </w:pPr>
      <w:bookmarkStart w:name="_Toc101261731" w:id="96"/>
      <w:bookmarkStart w:name="_Toc110434598" w:id="97"/>
      <w:r w:rsidRPr="00A05EC6">
        <w:rPr>
          <w:b w:val="0"/>
          <w:i/>
          <w:color w:val="auto"/>
          <w:szCs w:val="22"/>
        </w:rPr>
        <w:t>2.3.3.1</w:t>
      </w:r>
      <w:r w:rsidRPr="00A05EC6">
        <w:rPr>
          <w:b w:val="0"/>
          <w:i/>
          <w:color w:val="auto"/>
          <w:szCs w:val="22"/>
        </w:rPr>
        <w:tab/>
      </w:r>
      <w:r w:rsidRPr="00A05EC6">
        <w:rPr>
          <w:b w:val="0"/>
          <w:i/>
          <w:iCs/>
          <w:color w:val="auto"/>
          <w:szCs w:val="22"/>
        </w:rPr>
        <w:t>Declaration of certain substances</w:t>
      </w:r>
      <w:bookmarkEnd w:id="96"/>
      <w:bookmarkEnd w:id="97"/>
    </w:p>
    <w:p w:rsidRPr="007E0C60" w:rsidR="007E0C60" w:rsidP="007E0C60" w:rsidRDefault="007E0C60" w14:paraId="10DBB5AE" w14:textId="44C79039">
      <w:pPr>
        <w:rPr>
          <w:rFonts w:ascii="Arial" w:hAnsi="Arial" w:cs="Arial"/>
        </w:rPr>
      </w:pPr>
      <w:r w:rsidRPr="79B1AA16">
        <w:rPr>
          <w:rFonts w:ascii="Arial" w:hAnsi="Arial" w:cs="Arial"/>
        </w:rPr>
        <w:t xml:space="preserve">As noted in section 2.2.1 of SD1, wheat products are </w:t>
      </w:r>
      <w:r w:rsidRPr="79B1AA16">
        <w:rPr>
          <w:rFonts w:ascii="Arial" w:hAnsi="Arial" w:cs="Arial"/>
          <w:lang w:eastAsia="en-AU"/>
        </w:rPr>
        <w:t>utilised in the production of this enzyme</w:t>
      </w:r>
      <w:r w:rsidRPr="79B1AA16">
        <w:rPr>
          <w:rFonts w:ascii="Arial" w:hAnsi="Arial" w:cs="Arial"/>
        </w:rPr>
        <w:t xml:space="preserve">. Although the applicant states there is no allergenic risk associated with thermomycolin sourced from </w:t>
      </w:r>
      <w:r w:rsidRPr="79B1AA16">
        <w:rPr>
          <w:rFonts w:ascii="Arial" w:hAnsi="Arial" w:cs="Arial"/>
          <w:i/>
          <w:iCs/>
        </w:rPr>
        <w:t>T. reesei</w:t>
      </w:r>
      <w:r w:rsidRPr="79B1AA16">
        <w:rPr>
          <w:rFonts w:ascii="Arial" w:hAnsi="Arial" w:cs="Arial"/>
        </w:rPr>
        <w:t xml:space="preserve">, strain RF8963, if wheat </w:t>
      </w:r>
      <w:r w:rsidR="00F17B76">
        <w:rPr>
          <w:rFonts w:ascii="Arial" w:hAnsi="Arial" w:cs="Arial"/>
        </w:rPr>
        <w:t xml:space="preserve">or gluten </w:t>
      </w:r>
      <w:r w:rsidRPr="79B1AA16">
        <w:rPr>
          <w:rFonts w:ascii="Arial" w:hAnsi="Arial" w:cs="Arial"/>
        </w:rPr>
        <w:t xml:space="preserve">is present in a food for sale, </w:t>
      </w:r>
      <w:r w:rsidR="00F17B76">
        <w:rPr>
          <w:rFonts w:ascii="Arial" w:hAnsi="Arial" w:cs="Arial"/>
        </w:rPr>
        <w:t>they</w:t>
      </w:r>
      <w:r w:rsidRPr="79B1AA16">
        <w:rPr>
          <w:rFonts w:ascii="Arial" w:hAnsi="Arial" w:cs="Arial"/>
        </w:rPr>
        <w:t xml:space="preserve"> must be declared in accordance with requirements in Division 3 of Standard 1.2.3 (see Section 1.3 of this report). </w:t>
      </w:r>
    </w:p>
    <w:p w:rsidRPr="00DA204F" w:rsidR="007E0C60" w:rsidP="5F4A1477" w:rsidRDefault="007E0C60" w14:paraId="57D5891C" w14:textId="1A44A48B">
      <w:pPr>
        <w:pStyle w:val="Heading3"/>
        <w:rPr>
          <w:b w:val="0"/>
          <w:bCs w:val="0"/>
          <w:i/>
          <w:iCs/>
          <w:color w:val="auto"/>
        </w:rPr>
      </w:pPr>
      <w:bookmarkStart w:name="_Toc110434599" w:id="98"/>
      <w:r w:rsidRPr="5F4A1477">
        <w:rPr>
          <w:b w:val="0"/>
          <w:bCs w:val="0"/>
          <w:i/>
          <w:iCs/>
          <w:color w:val="auto"/>
        </w:rPr>
        <w:t>2.3.3.2</w:t>
      </w:r>
      <w:r>
        <w:tab/>
      </w:r>
      <w:r w:rsidRPr="5F4A1477">
        <w:rPr>
          <w:b w:val="0"/>
          <w:bCs w:val="0"/>
          <w:i/>
          <w:iCs/>
          <w:color w:val="auto"/>
        </w:rPr>
        <w:t>Labelling requirements for food produced using gene technology</w:t>
      </w:r>
      <w:bookmarkEnd w:id="98"/>
    </w:p>
    <w:p w:rsidRPr="007E0C60" w:rsidR="007E0C60" w:rsidP="007E0C60" w:rsidRDefault="007E0C60" w14:paraId="7C952D76" w14:textId="7B01E28A">
      <w:pPr>
        <w:rPr>
          <w:rFonts w:ascii="Arial" w:hAnsi="Arial" w:cs="Arial"/>
        </w:rPr>
      </w:pPr>
      <w:r w:rsidRPr="5F4A1477">
        <w:rPr>
          <w:rFonts w:ascii="Arial" w:hAnsi="Arial" w:cs="Arial"/>
        </w:rPr>
        <w:t xml:space="preserve">Standard 1.5.2 in effect provides that a substance used as a processing aid that contains novel DNA or novel protein is a GM food. In contrast to the generic exemption for listing processing aids, subsection 1.5.2—4(2) states that the information relating to foods produced using gene technology must include the statement ‘genetically modified’ in conjunction with the name of the GM food. Subsection 1.5.2—4(3) states that if the GM food is used as a </w:t>
      </w:r>
      <w:r w:rsidRPr="5F4A1477">
        <w:rPr>
          <w:rFonts w:ascii="Arial" w:hAnsi="Arial" w:cs="Arial"/>
        </w:rPr>
        <w:lastRenderedPageBreak/>
        <w:t xml:space="preserve">processing aid, the information may be included in the statement of ingredients. A food for retail sale or sold to a caterer that contains thermomycolin sourced from </w:t>
      </w:r>
      <w:r w:rsidRPr="5F4A1477">
        <w:rPr>
          <w:rFonts w:ascii="Arial" w:hAnsi="Arial" w:cs="Arial"/>
          <w:i/>
          <w:iCs/>
        </w:rPr>
        <w:t xml:space="preserve">T. reesei, </w:t>
      </w:r>
      <w:r w:rsidRPr="5F4A1477">
        <w:rPr>
          <w:rFonts w:ascii="Arial" w:hAnsi="Arial" w:cs="Arial"/>
        </w:rPr>
        <w:t>strain RF8963 as an ingredient (for example, the enzyme is used in the manufacture of meat stock) will be required to be labelled ‘genetically modified’ in conjunction with the name of the enzyme.</w:t>
      </w:r>
    </w:p>
    <w:p w:rsidRPr="00A05EC6" w:rsidR="007E0C60" w:rsidP="007E0C60" w:rsidRDefault="007E0C60" w14:paraId="0B881545" w14:textId="646BEA51">
      <w:pPr>
        <w:pStyle w:val="Heading3"/>
        <w:rPr>
          <w:rFonts w:eastAsiaTheme="majorEastAsia"/>
          <w:i/>
        </w:rPr>
      </w:pPr>
      <w:bookmarkStart w:name="_Toc83719051" w:id="99"/>
      <w:bookmarkStart w:name="_Toc101261732" w:id="100"/>
      <w:bookmarkStart w:name="_Toc110434600" w:id="101"/>
      <w:r w:rsidRPr="00A05EC6">
        <w:rPr>
          <w:rFonts w:eastAsiaTheme="majorEastAsia"/>
          <w:i/>
        </w:rPr>
        <w:t>2.3.4</w:t>
      </w:r>
      <w:r w:rsidRPr="00A05EC6">
        <w:rPr>
          <w:rFonts w:eastAsiaTheme="majorEastAsia"/>
          <w:i/>
        </w:rPr>
        <w:tab/>
      </w:r>
      <w:r w:rsidRPr="00A05EC6">
        <w:rPr>
          <w:rFonts w:eastAsiaTheme="majorEastAsia"/>
          <w:i/>
        </w:rPr>
        <w:t>Risk management conclusion</w:t>
      </w:r>
      <w:bookmarkEnd w:id="95"/>
      <w:bookmarkEnd w:id="99"/>
      <w:bookmarkEnd w:id="100"/>
      <w:bookmarkEnd w:id="101"/>
    </w:p>
    <w:p w:rsidRPr="007E0C60" w:rsidR="007E0C60" w:rsidP="007E0C60" w:rsidRDefault="007E0C60" w14:paraId="7EA4AD6A" w14:textId="4181A05B">
      <w:pPr>
        <w:rPr>
          <w:rFonts w:ascii="Arial" w:hAnsi="Arial" w:cs="Arial"/>
        </w:rPr>
      </w:pPr>
      <w:r w:rsidRPr="5058D6E4">
        <w:rPr>
          <w:rFonts w:ascii="Arial" w:hAnsi="Arial" w:cs="Arial"/>
        </w:rPr>
        <w:t xml:space="preserve">The risk management conclusion </w:t>
      </w:r>
      <w:r w:rsidRPr="5058D6E4" w:rsidR="004E28A7">
        <w:rPr>
          <w:rFonts w:ascii="Arial" w:hAnsi="Arial" w:cs="Arial"/>
        </w:rPr>
        <w:t>was</w:t>
      </w:r>
      <w:r w:rsidRPr="5058D6E4">
        <w:rPr>
          <w:rFonts w:ascii="Arial" w:hAnsi="Arial" w:cs="Arial"/>
        </w:rPr>
        <w:t xml:space="preserve"> to permit the use of </w:t>
      </w:r>
      <w:r w:rsidRPr="5058D6E4" w:rsidR="008D73FC">
        <w:rPr>
          <w:rFonts w:ascii="Arial" w:hAnsi="Arial" w:cs="Arial"/>
        </w:rPr>
        <w:t xml:space="preserve">the enzyme </w:t>
      </w:r>
      <w:r w:rsidRPr="5058D6E4">
        <w:rPr>
          <w:rFonts w:ascii="Arial" w:hAnsi="Arial" w:cs="Arial"/>
        </w:rPr>
        <w:t xml:space="preserve">thermomycolin (EC 3.4.21.65) derived from </w:t>
      </w:r>
      <w:r w:rsidRPr="5058D6E4">
        <w:rPr>
          <w:rFonts w:ascii="Arial" w:hAnsi="Arial" w:cs="Arial"/>
          <w:i/>
          <w:iCs/>
        </w:rPr>
        <w:t>T. reesei</w:t>
      </w:r>
      <w:r w:rsidRPr="5058D6E4">
        <w:rPr>
          <w:rFonts w:ascii="Arial" w:hAnsi="Arial" w:cs="Arial"/>
        </w:rPr>
        <w:t xml:space="preserve"> strain RF8963, </w:t>
      </w:r>
      <w:r w:rsidRPr="5058D6E4">
        <w:rPr>
          <w:rFonts w:ascii="Arial" w:hAnsi="Arial" w:cs="Arial"/>
          <w:lang w:val="en-AU"/>
        </w:rPr>
        <w:t xml:space="preserve">containing the </w:t>
      </w:r>
      <w:r w:rsidRPr="5058D6E4">
        <w:rPr>
          <w:rFonts w:ascii="Arial" w:hAnsi="Arial" w:cs="Arial"/>
        </w:rPr>
        <w:t xml:space="preserve">thermomycolin </w:t>
      </w:r>
      <w:r w:rsidRPr="5058D6E4">
        <w:rPr>
          <w:rFonts w:ascii="Arial" w:hAnsi="Arial" w:cs="Arial"/>
          <w:lang w:val="en-AU"/>
        </w:rPr>
        <w:t xml:space="preserve">gene from </w:t>
      </w:r>
      <w:r w:rsidRPr="5058D6E4">
        <w:rPr>
          <w:rFonts w:ascii="Arial" w:hAnsi="Arial" w:cs="Arial"/>
          <w:i/>
          <w:iCs/>
          <w:lang w:val="en-AU"/>
        </w:rPr>
        <w:t>M. cinnamomea,</w:t>
      </w:r>
      <w:r w:rsidRPr="5058D6E4">
        <w:rPr>
          <w:rFonts w:ascii="Arial" w:hAnsi="Arial" w:cs="Arial"/>
        </w:rPr>
        <w:t xml:space="preserve"> as a processing aid in the Code for the stated technological purpose. The maximum permitted level is an amount consistent with GMP. </w:t>
      </w:r>
      <w:r w:rsidRPr="5058D6E4" w:rsidR="008D73FC">
        <w:rPr>
          <w:rFonts w:ascii="Arial" w:hAnsi="Arial" w:cs="Arial"/>
        </w:rPr>
        <w:t xml:space="preserve">The enzyme, and its </w:t>
      </w:r>
      <w:r w:rsidRPr="5058D6E4">
        <w:rPr>
          <w:rFonts w:ascii="Arial" w:hAnsi="Arial" w:cs="Arial"/>
        </w:rPr>
        <w:t>technological purpose and maximum permitted level</w:t>
      </w:r>
      <w:r w:rsidRPr="5058D6E4" w:rsidR="008D73FC">
        <w:rPr>
          <w:rFonts w:ascii="Arial" w:hAnsi="Arial" w:cs="Arial"/>
        </w:rPr>
        <w:t>,</w:t>
      </w:r>
      <w:r w:rsidRPr="5058D6E4">
        <w:rPr>
          <w:rFonts w:ascii="Arial" w:hAnsi="Arial" w:cs="Arial"/>
        </w:rPr>
        <w:t xml:space="preserve"> </w:t>
      </w:r>
      <w:r w:rsidRPr="5058D6E4" w:rsidR="008D73FC">
        <w:rPr>
          <w:rFonts w:ascii="Arial" w:hAnsi="Arial" w:cs="Arial"/>
        </w:rPr>
        <w:t xml:space="preserve">will </w:t>
      </w:r>
      <w:r w:rsidRPr="5058D6E4">
        <w:rPr>
          <w:rFonts w:ascii="Arial" w:hAnsi="Arial" w:cs="Arial"/>
        </w:rPr>
        <w:t xml:space="preserve">be added into the table to subsection S18—9(3), which includes enzymes permitted for specific technological purposes. </w:t>
      </w:r>
    </w:p>
    <w:p w:rsidRPr="00875D51" w:rsidR="00E26D23" w:rsidP="00FB3F90" w:rsidRDefault="00E26D23" w14:paraId="528E1DBD" w14:textId="77777777">
      <w:pPr>
        <w:pStyle w:val="Heading3"/>
        <w:rPr>
          <w:rFonts w:eastAsiaTheme="majorEastAsia"/>
        </w:rPr>
      </w:pPr>
      <w:bookmarkStart w:name="_Toc110434601" w:id="102"/>
      <w:r w:rsidRPr="00875D51">
        <w:rPr>
          <w:rFonts w:eastAsiaTheme="majorEastAsia"/>
        </w:rPr>
        <w:t>2.4</w:t>
      </w:r>
      <w:r w:rsidRPr="00875D51">
        <w:rPr>
          <w:rFonts w:eastAsiaTheme="majorEastAsia"/>
        </w:rPr>
        <w:tab/>
      </w:r>
      <w:r w:rsidRPr="00875D51">
        <w:rPr>
          <w:rFonts w:eastAsiaTheme="majorEastAsia"/>
        </w:rPr>
        <w:t>Risk communication</w:t>
      </w:r>
      <w:bookmarkEnd w:id="69"/>
      <w:bookmarkEnd w:id="70"/>
      <w:bookmarkEnd w:id="102"/>
      <w:r w:rsidRPr="00875D51">
        <w:rPr>
          <w:rFonts w:eastAsiaTheme="majorEastAsia"/>
        </w:rPr>
        <w:t xml:space="preserve"> </w:t>
      </w:r>
    </w:p>
    <w:p w:rsidRPr="00A05EC6" w:rsidR="00E26D23" w:rsidP="00A05EC6" w:rsidRDefault="00E26D23" w14:paraId="3117BB0C" w14:textId="77777777">
      <w:pPr>
        <w:pStyle w:val="Heading3"/>
        <w:rPr>
          <w:rFonts w:eastAsiaTheme="majorEastAsia"/>
          <w:i/>
        </w:rPr>
      </w:pPr>
      <w:bookmarkStart w:name="_Toc300933437" w:id="103"/>
      <w:bookmarkStart w:name="_Toc370223475" w:id="104"/>
      <w:bookmarkStart w:name="_Toc370225390" w:id="105"/>
      <w:bookmarkStart w:name="_Toc110434602" w:id="106"/>
      <w:r w:rsidRPr="00A05EC6">
        <w:rPr>
          <w:rFonts w:eastAsiaTheme="majorEastAsia"/>
          <w:i/>
        </w:rPr>
        <w:t>2.4.1</w:t>
      </w:r>
      <w:r w:rsidRPr="00A05EC6">
        <w:rPr>
          <w:rFonts w:eastAsiaTheme="majorEastAsia"/>
          <w:i/>
        </w:rPr>
        <w:tab/>
      </w:r>
      <w:r w:rsidRPr="00A05EC6">
        <w:rPr>
          <w:rFonts w:eastAsiaTheme="majorEastAsia"/>
          <w:i/>
        </w:rPr>
        <w:t>Consultation</w:t>
      </w:r>
      <w:bookmarkEnd w:id="103"/>
      <w:bookmarkEnd w:id="104"/>
      <w:bookmarkEnd w:id="105"/>
      <w:bookmarkEnd w:id="106"/>
    </w:p>
    <w:p w:rsidRPr="00913E70" w:rsidR="007E0C60" w:rsidP="007E0C60" w:rsidRDefault="007E0C60" w14:paraId="0F824DA2" w14:textId="043B14C2">
      <w:pPr>
        <w:spacing w:after="0" w:line="240" w:lineRule="auto"/>
        <w:textAlignment w:val="baseline"/>
        <w:rPr>
          <w:rFonts w:ascii="Arial" w:hAnsi="Arial" w:eastAsia="Times New Roman" w:cs="Arial"/>
          <w:lang w:val="en-GB" w:eastAsia="en-GB"/>
        </w:rPr>
      </w:pPr>
      <w:r w:rsidRPr="7DF58A1D">
        <w:rPr>
          <w:rFonts w:ascii="Arial" w:hAnsi="Arial" w:eastAsia="Times New Roman" w:cs="Arial"/>
          <w:lang w:val="en-GB" w:eastAsia="en-GB"/>
        </w:rPr>
        <w:t>Consultation is a key part of FSANZ’s standards development process. FSANZ developed and applied a basic communication strategy to this application. The call for submissions was notified via the Food Standards Notification Circular, media release</w:t>
      </w:r>
      <w:r w:rsidR="002B6B04">
        <w:rPr>
          <w:rFonts w:ascii="Arial" w:hAnsi="Arial" w:eastAsia="Times New Roman" w:cs="Arial"/>
          <w:lang w:val="en-GB" w:eastAsia="en-GB"/>
        </w:rPr>
        <w:t xml:space="preserve"> and</w:t>
      </w:r>
      <w:r w:rsidRPr="7DF58A1D" w:rsidR="002B6B04">
        <w:rPr>
          <w:rFonts w:ascii="Arial" w:hAnsi="Arial" w:eastAsia="Times New Roman" w:cs="Arial"/>
          <w:lang w:val="en-GB" w:eastAsia="en-GB"/>
        </w:rPr>
        <w:t xml:space="preserve"> </w:t>
      </w:r>
      <w:r w:rsidRPr="7DF58A1D">
        <w:rPr>
          <w:rFonts w:ascii="Arial" w:hAnsi="Arial" w:eastAsia="Times New Roman" w:cs="Arial"/>
          <w:lang w:val="en-GB" w:eastAsia="en-GB"/>
        </w:rPr>
        <w:t>FSANZ’s social media tools</w:t>
      </w:r>
      <w:r w:rsidR="002B6B04">
        <w:rPr>
          <w:rFonts w:ascii="Arial" w:hAnsi="Arial" w:eastAsia="Times New Roman" w:cs="Arial"/>
          <w:lang w:val="en-GB" w:eastAsia="en-GB"/>
        </w:rPr>
        <w:t>.</w:t>
      </w:r>
    </w:p>
    <w:p w:rsidRPr="007E0C60" w:rsidR="007E0C60" w:rsidP="007E0C60" w:rsidRDefault="007E0C60" w14:paraId="3F3C797E" w14:textId="77777777">
      <w:pPr>
        <w:spacing w:after="0" w:line="240" w:lineRule="auto"/>
        <w:textAlignment w:val="baseline"/>
        <w:rPr>
          <w:rFonts w:ascii="Arial" w:hAnsi="Arial" w:eastAsia="Times New Roman" w:cs="Arial"/>
          <w:lang w:val="en-GB" w:eastAsia="en-GB"/>
        </w:rPr>
      </w:pPr>
    </w:p>
    <w:p w:rsidRPr="00913E70" w:rsidR="007E0C60" w:rsidP="007E0C60" w:rsidRDefault="007E0C60" w14:paraId="14E8F1D5" w14:textId="58387409">
      <w:pPr>
        <w:spacing w:after="0" w:line="240" w:lineRule="auto"/>
        <w:textAlignment w:val="baseline"/>
        <w:rPr>
          <w:rFonts w:ascii="Arial" w:hAnsi="Arial" w:eastAsia="Times New Roman" w:cs="Arial"/>
          <w:lang w:val="en-GB" w:eastAsia="en-GB"/>
        </w:rPr>
      </w:pPr>
      <w:r w:rsidRPr="00913E70">
        <w:rPr>
          <w:rFonts w:ascii="Arial" w:hAnsi="Arial" w:eastAsia="Times New Roman" w:cs="Arial"/>
          <w:lang w:val="en-GB" w:eastAsia="en-GB"/>
        </w:rPr>
        <w:t>The process by which FSANZ considers standard development matters is open, accountable, consultative and transparent. Public submissions were called to obtain the views of interested parties on issues raised by the application and the impacts of regulatory options. FSANZ acknowledges the time taken by individuals and organisations to make submissions on this application. </w:t>
      </w:r>
    </w:p>
    <w:p w:rsidRPr="007E0C60" w:rsidR="00913E70" w:rsidP="007E0C60" w:rsidRDefault="00913E70" w14:paraId="08C86832" w14:textId="77777777">
      <w:pPr>
        <w:spacing w:after="0" w:line="240" w:lineRule="auto"/>
        <w:textAlignment w:val="baseline"/>
        <w:rPr>
          <w:rFonts w:ascii="Arial" w:hAnsi="Arial" w:eastAsia="Times New Roman" w:cs="Arial"/>
          <w:sz w:val="18"/>
          <w:szCs w:val="18"/>
          <w:lang w:val="en-GB" w:eastAsia="en-GB"/>
        </w:rPr>
      </w:pPr>
    </w:p>
    <w:p w:rsidRPr="007E0C60" w:rsidR="007E0C60" w:rsidP="007E0C60" w:rsidRDefault="007E0C60" w14:paraId="479231C6" w14:textId="23CE7601">
      <w:pPr>
        <w:spacing w:after="0" w:line="240" w:lineRule="auto"/>
        <w:textAlignment w:val="baseline"/>
        <w:rPr>
          <w:rFonts w:ascii="Arial" w:hAnsi="Arial" w:eastAsia="Times New Roman" w:cs="Arial"/>
          <w:sz w:val="18"/>
          <w:szCs w:val="18"/>
          <w:lang w:val="en-GB" w:eastAsia="en-GB"/>
        </w:rPr>
      </w:pPr>
      <w:r w:rsidRPr="5058D6E4">
        <w:rPr>
          <w:rFonts w:ascii="Arial" w:hAnsi="Arial" w:eastAsia="Times New Roman" w:cs="Arial"/>
          <w:lang w:val="en-GB" w:eastAsia="en-GB"/>
        </w:rPr>
        <w:t xml:space="preserve">The draft variation was considered for approval by the FSANZ Board, </w:t>
      </w:r>
      <w:r w:rsidRPr="5058D6E4" w:rsidR="009C5D78">
        <w:rPr>
          <w:rFonts w:ascii="Arial" w:hAnsi="Arial" w:eastAsia="Times New Roman" w:cs="Arial"/>
          <w:lang w:val="en-GB" w:eastAsia="en-GB"/>
        </w:rPr>
        <w:t xml:space="preserve">having regard to </w:t>
      </w:r>
      <w:r w:rsidRPr="5058D6E4" w:rsidR="0050164C">
        <w:rPr>
          <w:rFonts w:ascii="Arial" w:hAnsi="Arial" w:eastAsia="Times New Roman" w:cs="Arial"/>
          <w:lang w:val="en-GB" w:eastAsia="en-GB"/>
        </w:rPr>
        <w:t xml:space="preserve">all </w:t>
      </w:r>
      <w:r w:rsidRPr="5058D6E4" w:rsidR="009C5D78">
        <w:rPr>
          <w:rFonts w:ascii="Arial" w:hAnsi="Arial" w:eastAsia="Times New Roman" w:cs="Arial"/>
          <w:lang w:val="en-GB" w:eastAsia="en-GB"/>
        </w:rPr>
        <w:t>submissions made during the call for submissions period</w:t>
      </w:r>
      <w:r w:rsidRPr="5058D6E4">
        <w:rPr>
          <w:rFonts w:ascii="Arial" w:hAnsi="Arial" w:eastAsia="Times New Roman" w:cs="Arial"/>
          <w:lang w:val="en-GB" w:eastAsia="en-GB"/>
        </w:rPr>
        <w:t>.</w:t>
      </w:r>
      <w:r w:rsidRPr="5058D6E4" w:rsidR="00AA1FE0">
        <w:rPr>
          <w:rFonts w:ascii="Arial" w:hAnsi="Arial" w:eastAsia="Times New Roman" w:cs="Arial"/>
          <w:lang w:val="en-GB" w:eastAsia="en-GB"/>
        </w:rPr>
        <w:t xml:space="preserve"> As stated above, only two submissions were received.</w:t>
      </w:r>
    </w:p>
    <w:p w:rsidR="00631096" w:rsidRDefault="00631096" w14:paraId="31562EF7" w14:textId="77777777">
      <w:pPr>
        <w:rPr>
          <w:rFonts w:ascii="Arial" w:hAnsi="Arial" w:cs="Times New Roman" w:eastAsiaTheme="majorEastAsia"/>
          <w:b/>
          <w:bCs/>
          <w:color w:val="000000" w:themeColor="text1"/>
          <w:szCs w:val="24"/>
          <w:lang w:val="en-GB" w:eastAsia="en-AU"/>
        </w:rPr>
      </w:pPr>
      <w:bookmarkStart w:name="_Toc370223477" w:id="107"/>
      <w:bookmarkStart w:name="_Toc370225392" w:id="108"/>
      <w:bookmarkStart w:name="_Toc309291816" w:id="109"/>
      <w:bookmarkStart w:name="_Toc300933448" w:id="110"/>
      <w:bookmarkStart w:name="_Toc300933577" w:id="111"/>
      <w:bookmarkStart w:name="_Toc301535601" w:id="112"/>
      <w:bookmarkStart w:name="_Toc309385464" w:id="113"/>
      <w:bookmarkStart w:name="_Toc175381456" w:id="114"/>
      <w:bookmarkEnd w:id="44"/>
      <w:bookmarkEnd w:id="45"/>
      <w:bookmarkEnd w:id="46"/>
      <w:bookmarkEnd w:id="47"/>
      <w:bookmarkEnd w:id="48"/>
      <w:bookmarkEnd w:id="49"/>
      <w:bookmarkEnd w:id="71"/>
      <w:r>
        <w:rPr>
          <w:rFonts w:eastAsiaTheme="majorEastAsia"/>
        </w:rPr>
        <w:br w:type="page"/>
      </w:r>
    </w:p>
    <w:p w:rsidR="00E26D23" w:rsidP="5058D6E4" w:rsidRDefault="00E26D23" w14:paraId="7244C1BD" w14:textId="0698DCAB">
      <w:pPr>
        <w:pStyle w:val="Heading3"/>
        <w:rPr>
          <w:rFonts w:eastAsiaTheme="majorEastAsia"/>
        </w:rPr>
      </w:pPr>
      <w:bookmarkStart w:name="_Toc110434603" w:id="115"/>
      <w:r w:rsidRPr="5058D6E4">
        <w:rPr>
          <w:rFonts w:eastAsiaTheme="majorEastAsia"/>
        </w:rPr>
        <w:lastRenderedPageBreak/>
        <w:t>2.5</w:t>
      </w:r>
      <w:r>
        <w:tab/>
      </w:r>
      <w:r w:rsidRPr="5058D6E4">
        <w:rPr>
          <w:rFonts w:eastAsiaTheme="majorEastAsia"/>
        </w:rPr>
        <w:t>FSANZ Act assessment requirements</w:t>
      </w:r>
      <w:bookmarkEnd w:id="107"/>
      <w:bookmarkEnd w:id="108"/>
      <w:bookmarkEnd w:id="115"/>
    </w:p>
    <w:p w:rsidRPr="00DE4A4E" w:rsidR="00DE4A4E" w:rsidP="00DE4A4E" w:rsidRDefault="00DE4A4E" w14:paraId="3D3B227D" w14:textId="0C9A67D1">
      <w:pPr>
        <w:rPr>
          <w:lang w:val="en-GB" w:eastAsia="en-AU"/>
        </w:rPr>
      </w:pPr>
      <w:r>
        <w:rPr>
          <w:rStyle w:val="normaltextrun"/>
          <w:rFonts w:ascii="Arial" w:hAnsi="Arial" w:cs="Arial"/>
          <w:color w:val="000000"/>
          <w:shd w:val="clear" w:color="auto" w:fill="FFFFFF"/>
        </w:rPr>
        <w:t>When assessing this application and the subsequent development of a food regulatory measure, FSANZ had regard to the following matters in section 29 of the FSANZ Act.</w:t>
      </w:r>
    </w:p>
    <w:p w:rsidRPr="00A05EC6" w:rsidR="00E26D23" w:rsidP="00A05EC6" w:rsidRDefault="00E26D23" w14:paraId="52C95184" w14:textId="508AB8FA">
      <w:pPr>
        <w:pStyle w:val="Heading3"/>
        <w:rPr>
          <w:rFonts w:eastAsiaTheme="majorEastAsia"/>
          <w:i/>
        </w:rPr>
      </w:pPr>
      <w:bookmarkStart w:name="_Toc370223478" w:id="116"/>
      <w:bookmarkStart w:name="_Toc370225393" w:id="117"/>
      <w:bookmarkStart w:name="_Toc110434604" w:id="118"/>
      <w:bookmarkEnd w:id="109"/>
      <w:bookmarkEnd w:id="110"/>
      <w:bookmarkEnd w:id="111"/>
      <w:bookmarkEnd w:id="112"/>
      <w:bookmarkEnd w:id="113"/>
      <w:r w:rsidRPr="00A05EC6">
        <w:rPr>
          <w:rFonts w:eastAsiaTheme="majorEastAsia"/>
          <w:i/>
        </w:rPr>
        <w:t>2.5.1</w:t>
      </w:r>
      <w:r w:rsidRPr="00A05EC6">
        <w:rPr>
          <w:rFonts w:eastAsiaTheme="majorEastAsia"/>
          <w:i/>
        </w:rPr>
        <w:tab/>
      </w:r>
      <w:r w:rsidRPr="00A05EC6">
        <w:rPr>
          <w:rFonts w:eastAsiaTheme="majorEastAsia"/>
          <w:i/>
        </w:rPr>
        <w:t>Section 29</w:t>
      </w:r>
      <w:bookmarkEnd w:id="116"/>
      <w:bookmarkEnd w:id="117"/>
      <w:bookmarkEnd w:id="118"/>
    </w:p>
    <w:p w:rsidRPr="00A05EC6" w:rsidR="00E26D23" w:rsidP="00A05EC6" w:rsidRDefault="00E26D23" w14:paraId="1049177D" w14:textId="77777777">
      <w:pPr>
        <w:pStyle w:val="Heading3"/>
        <w:rPr>
          <w:b w:val="0"/>
          <w:i/>
          <w:color w:val="auto"/>
          <w:szCs w:val="22"/>
        </w:rPr>
      </w:pPr>
      <w:bookmarkStart w:name="_Toc110434605" w:id="119"/>
      <w:r w:rsidRPr="00A05EC6">
        <w:rPr>
          <w:b w:val="0"/>
          <w:i/>
          <w:color w:val="auto"/>
          <w:szCs w:val="22"/>
        </w:rPr>
        <w:t>2.5.1.1</w:t>
      </w:r>
      <w:r w:rsidRPr="00A05EC6">
        <w:rPr>
          <w:b w:val="0"/>
          <w:i/>
          <w:color w:val="auto"/>
          <w:szCs w:val="22"/>
        </w:rPr>
        <w:tab/>
      </w:r>
      <w:r w:rsidRPr="00A05EC6">
        <w:rPr>
          <w:b w:val="0"/>
          <w:i/>
          <w:color w:val="auto"/>
          <w:szCs w:val="22"/>
        </w:rPr>
        <w:t>Consideration of costs and benefits</w:t>
      </w:r>
      <w:bookmarkEnd w:id="119"/>
    </w:p>
    <w:p w:rsidR="00395C3B" w:rsidP="00395C3B" w:rsidRDefault="00395C3B" w14:paraId="50AF29FA" w14:textId="1E1098E6">
      <w:pPr>
        <w:spacing w:after="0" w:line="240" w:lineRule="auto"/>
        <w:textAlignment w:val="baseline"/>
        <w:rPr>
          <w:rFonts w:ascii="Arial" w:hAnsi="Arial" w:eastAsia="Times New Roman" w:cs="Arial"/>
          <w:lang w:val="en-GB" w:eastAsia="en-GB"/>
        </w:rPr>
      </w:pPr>
      <w:r w:rsidRPr="5058D6E4">
        <w:rPr>
          <w:rFonts w:ascii="Arial" w:hAnsi="Arial" w:eastAsia="Times New Roman" w:cs="Arial"/>
          <w:lang w:val="en-GB" w:eastAsia="en-GB"/>
        </w:rPr>
        <w:t>The Office of Best Practice Regulation (OBPR) granted FSANZ a standing exemption from the requirement to develop a Regulatory Impact Statement for permitting new processing aids</w:t>
      </w:r>
      <w:r w:rsidRPr="5058D6E4" w:rsidR="002D5D4B">
        <w:rPr>
          <w:rFonts w:ascii="Arial" w:hAnsi="Arial" w:eastAsia="Times New Roman" w:cs="Arial"/>
          <w:lang w:val="en-GB" w:eastAsia="en-GB"/>
        </w:rPr>
        <w:t xml:space="preserve"> and genetically modified food</w:t>
      </w:r>
      <w:r w:rsidRPr="5058D6E4">
        <w:rPr>
          <w:rFonts w:ascii="Arial" w:hAnsi="Arial" w:eastAsia="Times New Roman" w:cs="Arial"/>
          <w:lang w:val="en-GB" w:eastAsia="en-GB"/>
        </w:rPr>
        <w:t xml:space="preserve"> (OBPR correspondence dated 24 November 2010, reference 12065). This standing exemption was provided </w:t>
      </w:r>
      <w:r w:rsidRPr="5058D6E4" w:rsidR="00BF780D">
        <w:rPr>
          <w:rFonts w:ascii="Arial" w:hAnsi="Arial" w:eastAsia="Times New Roman" w:cs="Arial"/>
          <w:lang w:val="en-GB" w:eastAsia="en-GB"/>
        </w:rPr>
        <w:t>as permitting new enzyme processing aids and new genetically modified</w:t>
      </w:r>
      <w:r w:rsidRPr="5058D6E4" w:rsidR="00DF7D1D">
        <w:rPr>
          <w:rFonts w:ascii="Arial" w:hAnsi="Arial" w:eastAsia="Times New Roman" w:cs="Arial"/>
          <w:lang w:val="en-GB" w:eastAsia="en-GB"/>
        </w:rPr>
        <w:t xml:space="preserve"> food</w:t>
      </w:r>
      <w:r w:rsidRPr="5058D6E4">
        <w:rPr>
          <w:rFonts w:ascii="Arial" w:hAnsi="Arial" w:eastAsia="Times New Roman" w:cs="Arial"/>
          <w:lang w:val="en-GB" w:eastAsia="en-GB"/>
        </w:rPr>
        <w:t xml:space="preserve"> is voluntary </w:t>
      </w:r>
      <w:r w:rsidRPr="5058D6E4" w:rsidR="00BF780D">
        <w:rPr>
          <w:rFonts w:ascii="Arial" w:hAnsi="Arial" w:eastAsia="Times New Roman" w:cs="Arial"/>
          <w:lang w:val="en-GB" w:eastAsia="en-GB"/>
        </w:rPr>
        <w:t xml:space="preserve">if </w:t>
      </w:r>
      <w:r w:rsidRPr="5058D6E4">
        <w:rPr>
          <w:rFonts w:ascii="Arial" w:hAnsi="Arial" w:eastAsia="Times New Roman" w:cs="Arial"/>
          <w:lang w:val="en-GB" w:eastAsia="en-GB"/>
        </w:rPr>
        <w:t xml:space="preserve">the application </w:t>
      </w:r>
      <w:r w:rsidRPr="5058D6E4" w:rsidR="00BF780D">
        <w:rPr>
          <w:rFonts w:ascii="Arial" w:hAnsi="Arial" w:eastAsia="Times New Roman" w:cs="Arial"/>
          <w:lang w:val="en-GB" w:eastAsia="en-GB"/>
        </w:rPr>
        <w:t>concerned is</w:t>
      </w:r>
      <w:r w:rsidRPr="5058D6E4">
        <w:rPr>
          <w:rFonts w:ascii="Arial" w:hAnsi="Arial" w:eastAsia="Times New Roman" w:cs="Arial"/>
          <w:lang w:val="en-GB" w:eastAsia="en-GB"/>
        </w:rPr>
        <w:t xml:space="preserve"> approved. This standing exemption </w:t>
      </w:r>
      <w:r w:rsidRPr="5058D6E4" w:rsidR="00285AFD">
        <w:rPr>
          <w:rFonts w:ascii="Arial" w:hAnsi="Arial" w:eastAsia="Times New Roman" w:cs="Arial"/>
          <w:lang w:val="en-GB" w:eastAsia="en-GB"/>
        </w:rPr>
        <w:t xml:space="preserve">relates </w:t>
      </w:r>
      <w:r w:rsidRPr="5058D6E4">
        <w:rPr>
          <w:rFonts w:ascii="Arial" w:hAnsi="Arial" w:eastAsia="Times New Roman" w:cs="Arial"/>
          <w:lang w:val="en-GB" w:eastAsia="en-GB"/>
        </w:rPr>
        <w:t>to the introduction of a food to the food supply that had been determined to be safe.</w:t>
      </w:r>
    </w:p>
    <w:p w:rsidRPr="00395C3B" w:rsidR="00395C3B" w:rsidP="00395C3B" w:rsidRDefault="00395C3B" w14:paraId="6FC26610" w14:textId="77777777">
      <w:pPr>
        <w:spacing w:after="0" w:line="240" w:lineRule="auto"/>
        <w:textAlignment w:val="baseline"/>
        <w:rPr>
          <w:rFonts w:ascii="Segoe UI" w:hAnsi="Segoe UI" w:eastAsia="Times New Roman" w:cs="Segoe UI"/>
          <w:sz w:val="18"/>
          <w:szCs w:val="18"/>
          <w:lang w:val="en-GB" w:eastAsia="en-GB"/>
        </w:rPr>
      </w:pPr>
    </w:p>
    <w:p w:rsidRPr="00395C3B" w:rsidR="00395C3B" w:rsidP="00395C3B" w:rsidRDefault="00395C3B" w14:paraId="37E8313F" w14:textId="2114DFBB">
      <w:pPr>
        <w:spacing w:after="0" w:line="240" w:lineRule="auto"/>
        <w:textAlignment w:val="baseline"/>
        <w:rPr>
          <w:rFonts w:ascii="Segoe UI" w:hAnsi="Segoe UI" w:eastAsia="Times New Roman" w:cs="Segoe UI"/>
          <w:sz w:val="18"/>
          <w:szCs w:val="18"/>
          <w:lang w:val="en-GB" w:eastAsia="en-GB"/>
        </w:rPr>
      </w:pPr>
      <w:r w:rsidRPr="5058D6E4">
        <w:rPr>
          <w:rFonts w:ascii="Arial" w:hAnsi="Arial" w:eastAsia="Times New Roman" w:cs="Arial"/>
          <w:lang w:val="en-GB" w:eastAsia="en-GB"/>
        </w:rPr>
        <w:t>FSANZ, however, had considered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w:t>
      </w:r>
      <w:r w:rsidRPr="5058D6E4" w:rsidR="004379E8">
        <w:rPr>
          <w:rFonts w:ascii="Arial" w:hAnsi="Arial" w:eastAsia="Times New Roman" w:cs="Arial"/>
          <w:lang w:val="en-GB" w:eastAsia="en-GB"/>
        </w:rPr>
        <w:t>aph 29(2)(a)).</w:t>
      </w:r>
    </w:p>
    <w:p w:rsidR="004379E8" w:rsidP="00395C3B" w:rsidRDefault="004379E8" w14:paraId="48BDBD0F" w14:textId="77777777">
      <w:pPr>
        <w:spacing w:after="0" w:line="240" w:lineRule="auto"/>
        <w:textAlignment w:val="baseline"/>
        <w:rPr>
          <w:rFonts w:ascii="Arial" w:hAnsi="Arial" w:eastAsia="Times New Roman" w:cs="Arial"/>
          <w:lang w:val="en-GB" w:eastAsia="en-GB"/>
        </w:rPr>
      </w:pPr>
    </w:p>
    <w:p w:rsidRPr="00395C3B" w:rsidR="00395C3B" w:rsidP="00395C3B" w:rsidRDefault="2CAEEA6E" w14:paraId="1FF8A06B" w14:textId="1E949618">
      <w:pPr>
        <w:spacing w:after="0" w:line="240" w:lineRule="auto"/>
        <w:textAlignment w:val="baseline"/>
        <w:rPr>
          <w:rFonts w:ascii="Segoe UI" w:hAnsi="Segoe UI" w:eastAsia="Times New Roman" w:cs="Segoe UI"/>
          <w:sz w:val="18"/>
          <w:szCs w:val="18"/>
          <w:lang w:val="en-GB" w:eastAsia="en-GB"/>
        </w:rPr>
      </w:pPr>
      <w:r w:rsidRPr="004E93E4">
        <w:rPr>
          <w:rFonts w:ascii="Arial" w:hAnsi="Arial" w:eastAsia="Times New Roman" w:cs="Arial"/>
          <w:lang w:val="en-GB" w:eastAsia="en-GB"/>
        </w:rPr>
        <w:t>The purpose of this consideration was to determine if the community, government and industry is likely to benefit, on balance, from a move from the status quo (</w:t>
      </w:r>
      <w:bookmarkStart w:name="_Int_nhUJRjju" w:id="120"/>
      <w:r w:rsidRPr="004E93E4">
        <w:rPr>
          <w:rFonts w:ascii="Arial" w:hAnsi="Arial" w:eastAsia="Times New Roman" w:cs="Arial"/>
          <w:lang w:val="en-GB" w:eastAsia="en-GB"/>
        </w:rPr>
        <w:t>i.e.</w:t>
      </w:r>
      <w:bookmarkEnd w:id="120"/>
      <w:r w:rsidRPr="004E93E4">
        <w:rPr>
          <w:rFonts w:ascii="Arial" w:hAnsi="Arial" w:eastAsia="Times New Roman" w:cs="Arial"/>
          <w:lang w:val="en-GB" w:eastAsia="en-GB"/>
        </w:rPr>
        <w:t xml:space="preserve"> rejecting the application). This analysis considered permitting the </w:t>
      </w:r>
      <w:r w:rsidRPr="004E93E4" w:rsidR="3C302233">
        <w:rPr>
          <w:rFonts w:ascii="Arial" w:hAnsi="Arial" w:eastAsia="Times New Roman" w:cs="Arial"/>
          <w:lang w:val="en-GB" w:eastAsia="en-GB"/>
        </w:rPr>
        <w:t xml:space="preserve">proposed </w:t>
      </w:r>
      <w:r w:rsidRPr="004E93E4">
        <w:rPr>
          <w:rFonts w:ascii="Arial" w:hAnsi="Arial" w:eastAsia="Times New Roman" w:cs="Arial"/>
          <w:lang w:val="en-GB" w:eastAsia="en-GB"/>
        </w:rPr>
        <w:t xml:space="preserve">use </w:t>
      </w:r>
      <w:r w:rsidRPr="004E93E4" w:rsidR="3C302233">
        <w:rPr>
          <w:rFonts w:ascii="Arial" w:hAnsi="Arial" w:eastAsia="Calibri" w:cs="Arial"/>
          <w:lang w:eastAsia="en-AU"/>
        </w:rPr>
        <w:t>of</w:t>
      </w:r>
      <w:r w:rsidRPr="004E93E4" w:rsidR="7CE2A637">
        <w:rPr>
          <w:rFonts w:ascii="Arial" w:hAnsi="Arial" w:cs="Arial"/>
          <w:lang w:val="en-AU"/>
        </w:rPr>
        <w:t xml:space="preserve"> </w:t>
      </w:r>
      <w:r w:rsidRPr="004E93E4" w:rsidR="7CE2A637">
        <w:rPr>
          <w:rFonts w:ascii="Arial" w:hAnsi="Arial" w:cs="Arial"/>
        </w:rPr>
        <w:t xml:space="preserve">thermomycolin </w:t>
      </w:r>
      <w:r w:rsidRPr="004E93E4" w:rsidR="3C302233">
        <w:rPr>
          <w:rFonts w:ascii="Arial" w:hAnsi="Arial" w:cs="Arial"/>
        </w:rPr>
        <w:t xml:space="preserve">(EC 3.4.21.65) derived from </w:t>
      </w:r>
      <w:r w:rsidRPr="004E93E4" w:rsidR="3C302233">
        <w:rPr>
          <w:rFonts w:ascii="Arial" w:hAnsi="Arial" w:cs="Arial"/>
          <w:i/>
          <w:iCs/>
        </w:rPr>
        <w:t>T. reesei</w:t>
      </w:r>
      <w:r w:rsidRPr="004E93E4" w:rsidR="3C302233">
        <w:rPr>
          <w:rFonts w:ascii="Arial" w:hAnsi="Arial" w:cs="Arial"/>
        </w:rPr>
        <w:t xml:space="preserve"> strain RF8963, </w:t>
      </w:r>
      <w:r w:rsidRPr="004E93E4" w:rsidR="3C302233">
        <w:rPr>
          <w:rFonts w:ascii="Arial" w:hAnsi="Arial" w:cs="Arial"/>
          <w:lang w:val="en-AU"/>
        </w:rPr>
        <w:t xml:space="preserve">containing the </w:t>
      </w:r>
      <w:r w:rsidRPr="004E93E4" w:rsidR="3C302233">
        <w:rPr>
          <w:rFonts w:ascii="Arial" w:hAnsi="Arial" w:cs="Arial"/>
        </w:rPr>
        <w:t xml:space="preserve">thermomycolin </w:t>
      </w:r>
      <w:r w:rsidRPr="004E93E4" w:rsidR="3C302233">
        <w:rPr>
          <w:rFonts w:ascii="Arial" w:hAnsi="Arial" w:cs="Arial"/>
          <w:lang w:val="en-AU"/>
        </w:rPr>
        <w:t xml:space="preserve">gene from </w:t>
      </w:r>
      <w:r w:rsidRPr="004E93E4" w:rsidR="3C302233">
        <w:rPr>
          <w:rFonts w:ascii="Arial" w:hAnsi="Arial" w:cs="Arial"/>
          <w:i/>
          <w:iCs/>
          <w:lang w:val="en-AU"/>
        </w:rPr>
        <w:t>M. cinnamomea</w:t>
      </w:r>
      <w:r w:rsidRPr="004E93E4" w:rsidR="3C302233">
        <w:rPr>
          <w:rFonts w:ascii="Arial" w:hAnsi="Arial" w:eastAsia="Times New Roman" w:cs="Arial"/>
          <w:lang w:val="en-GB" w:eastAsia="en-GB"/>
        </w:rPr>
        <w:t xml:space="preserve">  </w:t>
      </w:r>
      <w:r w:rsidRPr="004E93E4">
        <w:rPr>
          <w:rFonts w:ascii="Arial" w:hAnsi="Arial" w:eastAsia="Times New Roman" w:cs="Arial"/>
          <w:lang w:val="en-GB" w:eastAsia="en-GB"/>
        </w:rPr>
        <w:t>as a processing aid. FSANZ concluded that no other realistic food regulatory measures exist</w:t>
      </w:r>
      <w:r w:rsidRPr="004E93E4" w:rsidR="2D052DF4">
        <w:rPr>
          <w:rFonts w:ascii="Arial" w:hAnsi="Arial" w:eastAsia="Times New Roman" w:cs="Arial"/>
          <w:lang w:val="en-GB" w:eastAsia="en-GB"/>
        </w:rPr>
        <w:t xml:space="preserve">. No </w:t>
      </w:r>
      <w:r w:rsidRPr="004E93E4">
        <w:rPr>
          <w:rFonts w:ascii="Arial" w:hAnsi="Arial" w:eastAsia="Times New Roman" w:cs="Arial"/>
          <w:lang w:val="en-GB" w:eastAsia="en-GB"/>
        </w:rPr>
        <w:t>information received during public consultation result</w:t>
      </w:r>
      <w:r w:rsidRPr="004E93E4" w:rsidR="2D052DF4">
        <w:rPr>
          <w:rFonts w:ascii="Arial" w:hAnsi="Arial" w:eastAsia="Times New Roman" w:cs="Arial"/>
          <w:lang w:val="en-GB" w:eastAsia="en-GB"/>
        </w:rPr>
        <w:t>ed</w:t>
      </w:r>
      <w:r w:rsidRPr="004E93E4">
        <w:rPr>
          <w:rFonts w:ascii="Arial" w:hAnsi="Arial" w:eastAsia="Times New Roman" w:cs="Arial"/>
          <w:lang w:val="en-GB" w:eastAsia="en-GB"/>
        </w:rPr>
        <w:t xml:space="preserve"> in FSANZ arriving at a different outcome.</w:t>
      </w:r>
    </w:p>
    <w:p w:rsidR="004379E8" w:rsidP="00395C3B" w:rsidRDefault="004379E8" w14:paraId="423DD558" w14:textId="77777777">
      <w:pPr>
        <w:spacing w:after="0" w:line="240" w:lineRule="auto"/>
        <w:textAlignment w:val="baseline"/>
        <w:rPr>
          <w:rFonts w:ascii="Arial" w:hAnsi="Arial" w:eastAsia="Times New Roman" w:cs="Arial"/>
          <w:lang w:val="en-GB" w:eastAsia="en-GB"/>
        </w:rPr>
      </w:pPr>
    </w:p>
    <w:p w:rsidR="004379E8" w:rsidP="004379E8" w:rsidRDefault="00395C3B" w14:paraId="2997F201" w14:textId="77777777">
      <w:pPr>
        <w:spacing w:after="0" w:line="240" w:lineRule="auto"/>
        <w:textAlignment w:val="baseline"/>
        <w:rPr>
          <w:rFonts w:ascii="Arial" w:hAnsi="Arial" w:eastAsia="Times New Roman" w:cs="Arial"/>
          <w:lang w:val="en-GB" w:eastAsia="en-GB"/>
        </w:rPr>
      </w:pPr>
      <w:r w:rsidRPr="00395C3B">
        <w:rPr>
          <w:rFonts w:ascii="Arial" w:hAnsi="Arial" w:eastAsia="Times New Roman" w:cs="Arial"/>
          <w:lang w:val="en-GB" w:eastAsia="en-GB"/>
        </w:rPr>
        <w:t>The consideration of the costs and benefits in this section was not intended to be an exhaustive, quantitative economic analysis of the proposed measures and, in fact, most of the effects that were considered could not easily be assigned a dollar value. Rather, the assessment sought to highlight the likely positives and negatives of moving away from the status quo by permitting the use of the enzyme.</w:t>
      </w:r>
    </w:p>
    <w:p w:rsidR="004379E8" w:rsidP="004379E8" w:rsidRDefault="004379E8" w14:paraId="2B56E864" w14:textId="77777777">
      <w:pPr>
        <w:spacing w:after="0" w:line="240" w:lineRule="auto"/>
        <w:textAlignment w:val="baseline"/>
        <w:rPr>
          <w:rFonts w:ascii="Arial" w:hAnsi="Arial" w:eastAsia="Times New Roman" w:cs="Arial"/>
          <w:lang w:val="en-GB" w:eastAsia="en-GB"/>
        </w:rPr>
      </w:pPr>
    </w:p>
    <w:p w:rsidRPr="004379E8" w:rsidR="004379E8" w:rsidP="5058D6E4" w:rsidRDefault="004379E8" w14:paraId="0E2420EB" w14:textId="62CDE60B">
      <w:pPr>
        <w:spacing w:after="0" w:line="240" w:lineRule="auto"/>
        <w:textAlignment w:val="baseline"/>
        <w:rPr>
          <w:rFonts w:ascii="Arial" w:hAnsi="Arial" w:eastAsia="Times New Roman" w:cs="Times New Roman"/>
          <w:i/>
          <w:iCs/>
          <w:lang w:val="en-GB" w:bidi="en-US"/>
        </w:rPr>
      </w:pPr>
      <w:r w:rsidRPr="5058D6E4">
        <w:rPr>
          <w:rFonts w:ascii="Arial" w:hAnsi="Arial" w:eastAsia="Times New Roman" w:cs="Arial"/>
          <w:i/>
          <w:iCs/>
          <w:lang w:val="en-GB" w:eastAsia="en-GB"/>
        </w:rPr>
        <w:t xml:space="preserve">Costs and benefits of permitting the use of enzyme </w:t>
      </w:r>
      <w:r w:rsidRPr="5058D6E4">
        <w:rPr>
          <w:rFonts w:ascii="Arial" w:hAnsi="Arial" w:eastAsia="Times New Roman" w:cs="Times New Roman"/>
          <w:i/>
          <w:iCs/>
          <w:lang w:val="en-GB" w:bidi="en-US"/>
        </w:rPr>
        <w:t>thermomycolin from a GM strain of T. reesei</w:t>
      </w:r>
    </w:p>
    <w:p w:rsidR="004379E8" w:rsidP="004379E8" w:rsidRDefault="004379E8" w14:paraId="30D282A1" w14:textId="77777777">
      <w:pPr>
        <w:spacing w:after="0" w:line="240" w:lineRule="auto"/>
        <w:textAlignment w:val="baseline"/>
        <w:rPr>
          <w:rFonts w:ascii="Arial" w:hAnsi="Arial" w:eastAsia="Times New Roman" w:cs="Arial"/>
          <w:i/>
          <w:iCs/>
          <w:lang w:val="en-GB" w:eastAsia="en-GB"/>
        </w:rPr>
      </w:pPr>
    </w:p>
    <w:p w:rsidR="004379E8" w:rsidP="004379E8" w:rsidRDefault="004379E8" w14:paraId="101E2177" w14:textId="2A7B6123">
      <w:pPr>
        <w:spacing w:after="0" w:line="240" w:lineRule="auto"/>
        <w:textAlignment w:val="baseline"/>
        <w:rPr>
          <w:rFonts w:ascii="Arial" w:hAnsi="Arial" w:eastAsia="Times New Roman" w:cs="Arial"/>
          <w:i/>
          <w:iCs/>
          <w:lang w:val="en-GB" w:eastAsia="en-GB"/>
        </w:rPr>
      </w:pPr>
      <w:r w:rsidRPr="004379E8">
        <w:rPr>
          <w:rFonts w:ascii="Arial" w:hAnsi="Arial" w:eastAsia="Times New Roman" w:cs="Arial"/>
          <w:i/>
          <w:iCs/>
          <w:lang w:val="en-GB" w:eastAsia="en-GB"/>
        </w:rPr>
        <w:t>Industry</w:t>
      </w:r>
    </w:p>
    <w:p w:rsidR="004379E8" w:rsidP="004379E8" w:rsidRDefault="004379E8" w14:paraId="1520688C" w14:textId="77777777">
      <w:pPr>
        <w:spacing w:after="0" w:line="240" w:lineRule="auto"/>
        <w:textAlignment w:val="baseline"/>
        <w:rPr>
          <w:rFonts w:ascii="Arial" w:hAnsi="Arial" w:eastAsia="Times New Roman" w:cs="Arial"/>
          <w:lang w:val="en-GB" w:eastAsia="en-GB"/>
        </w:rPr>
      </w:pPr>
    </w:p>
    <w:p w:rsidRPr="00AE2A2C" w:rsidR="004379E8" w:rsidP="004379E8" w:rsidRDefault="004379E8" w14:paraId="514A9A40" w14:textId="185C549D">
      <w:pPr>
        <w:spacing w:after="0" w:line="240" w:lineRule="auto"/>
        <w:textAlignment w:val="baseline"/>
        <w:rPr>
          <w:rFonts w:ascii="Arial" w:hAnsi="Arial" w:eastAsia="Times New Roman" w:cs="Arial"/>
          <w:lang w:val="en-GB" w:eastAsia="en-GB"/>
        </w:rPr>
      </w:pPr>
      <w:r w:rsidRPr="004379E8">
        <w:rPr>
          <w:rFonts w:ascii="Arial" w:hAnsi="Arial" w:eastAsia="Times New Roman" w:cs="Times New Roman"/>
          <w:szCs w:val="24"/>
          <w:lang w:val="en-GB" w:bidi="en-US"/>
        </w:rPr>
        <w:t>Thermomycolin</w:t>
      </w:r>
      <w:r w:rsidRPr="004379E8">
        <w:rPr>
          <w:rFonts w:ascii="Arial" w:hAnsi="Arial" w:cs="Arial"/>
          <w:lang w:val="en-AU"/>
        </w:rPr>
        <w:t xml:space="preserve"> </w:t>
      </w:r>
      <w:r>
        <w:rPr>
          <w:rFonts w:ascii="Arial" w:hAnsi="Arial" w:cs="Arial"/>
          <w:lang w:val="en-AU"/>
        </w:rPr>
        <w:t xml:space="preserve">may improve </w:t>
      </w:r>
      <w:r w:rsidRPr="007E0C60">
        <w:rPr>
          <w:rFonts w:ascii="Arial" w:hAnsi="Arial" w:cs="Arial"/>
          <w:lang w:val="en-AU"/>
        </w:rPr>
        <w:t xml:space="preserve">the hydrolysis of peptide bonds during the manufacture and/or </w:t>
      </w:r>
      <w:r w:rsidRPr="00AE2A2C">
        <w:rPr>
          <w:rFonts w:ascii="Arial" w:hAnsi="Arial" w:cs="Arial"/>
          <w:lang w:val="en-AU"/>
        </w:rPr>
        <w:t xml:space="preserve">processing of </w:t>
      </w:r>
      <w:r w:rsidRPr="00AE2A2C">
        <w:rPr>
          <w:rFonts w:ascii="Arial" w:hAnsi="Arial" w:cs="Arial"/>
        </w:rPr>
        <w:t xml:space="preserve">vegetable and animal protein hydrolysates including meat, poultry and game products, vegetable products, fish and seafood products. </w:t>
      </w:r>
      <w:r w:rsidRPr="007C2A50" w:rsidR="007C2A50">
        <w:rPr>
          <w:rFonts w:ascii="Arial" w:hAnsi="Arial" w:eastAsia="Times New Roman" w:cs="Arial"/>
          <w:lang w:val="en-GB" w:eastAsia="en-GB"/>
        </w:rPr>
        <w:t>There are other enzymes available to industry that perform similar functions, including sources of serine proteinase. It would likely benefit industry to have additional choice available to them, especially where the enzyme is more effective or cheaper.</w:t>
      </w:r>
      <w:r w:rsidR="007C2A50">
        <w:rPr>
          <w:rFonts w:ascii="Arial" w:hAnsi="Arial" w:eastAsia="Times New Roman" w:cs="Arial"/>
          <w:lang w:val="en-GB" w:eastAsia="en-GB"/>
        </w:rPr>
        <w:t xml:space="preserve"> </w:t>
      </w:r>
      <w:r w:rsidRPr="007C2A50" w:rsidR="007C2A50">
        <w:rPr>
          <w:rFonts w:ascii="Arial" w:hAnsi="Arial" w:eastAsia="Times New Roman" w:cs="Arial"/>
          <w:lang w:val="en-GB" w:eastAsia="en-GB"/>
        </w:rPr>
        <w:t>The enzyme is permitted for use in France, Denmark, Canada, Mexico, Brazil and the USA. The international permissions for this enzyme may be a business opportunity for Australian and New Zealand industries, although there may also be competing imports from these countries into the domestic market</w:t>
      </w:r>
      <w:r w:rsidR="007C2A50">
        <w:rPr>
          <w:rFonts w:ascii="Arial" w:hAnsi="Arial" w:eastAsia="Times New Roman" w:cs="Arial"/>
          <w:lang w:val="en-GB" w:eastAsia="en-GB"/>
        </w:rPr>
        <w:t>.</w:t>
      </w:r>
    </w:p>
    <w:p w:rsidR="00631096" w:rsidP="004379E8" w:rsidRDefault="00631096" w14:paraId="47FC873E" w14:textId="77777777">
      <w:pPr>
        <w:spacing w:after="0" w:line="240" w:lineRule="auto"/>
        <w:textAlignment w:val="baseline"/>
        <w:rPr>
          <w:rFonts w:ascii="Arial" w:hAnsi="Arial" w:eastAsia="Times New Roman" w:cs="Arial"/>
          <w:i/>
          <w:iCs/>
          <w:lang w:val="en-GB" w:eastAsia="en-GB"/>
        </w:rPr>
      </w:pPr>
    </w:p>
    <w:p w:rsidR="00631096" w:rsidRDefault="00631096" w14:paraId="703EEC29" w14:textId="77777777">
      <w:pPr>
        <w:rPr>
          <w:rFonts w:ascii="Arial" w:hAnsi="Arial" w:eastAsia="Times New Roman" w:cs="Arial"/>
          <w:i/>
          <w:iCs/>
          <w:lang w:val="en-GB" w:eastAsia="en-GB"/>
        </w:rPr>
      </w:pPr>
      <w:r>
        <w:rPr>
          <w:rFonts w:ascii="Arial" w:hAnsi="Arial" w:eastAsia="Times New Roman" w:cs="Arial"/>
          <w:i/>
          <w:iCs/>
          <w:lang w:val="en-GB" w:eastAsia="en-GB"/>
        </w:rPr>
        <w:br w:type="page"/>
      </w:r>
    </w:p>
    <w:p w:rsidRPr="00AE2A2C" w:rsidR="004379E8" w:rsidP="004379E8" w:rsidRDefault="004379E8" w14:paraId="48A52015" w14:textId="40FE20D9">
      <w:pPr>
        <w:spacing w:after="0" w:line="240" w:lineRule="auto"/>
        <w:textAlignment w:val="baseline"/>
        <w:rPr>
          <w:rFonts w:ascii="Arial" w:hAnsi="Arial" w:eastAsia="Times New Roman" w:cs="Arial"/>
          <w:lang w:val="en-GB" w:eastAsia="en-GB"/>
        </w:rPr>
      </w:pPr>
      <w:r w:rsidRPr="00AE2A2C">
        <w:rPr>
          <w:rFonts w:ascii="Arial" w:hAnsi="Arial" w:eastAsia="Times New Roman" w:cs="Arial"/>
          <w:i/>
          <w:iCs/>
          <w:lang w:val="en-GB" w:eastAsia="en-GB"/>
        </w:rPr>
        <w:lastRenderedPageBreak/>
        <w:t>Consumers</w:t>
      </w:r>
    </w:p>
    <w:p w:rsidRPr="00AE2A2C" w:rsidR="004379E8" w:rsidP="004379E8" w:rsidRDefault="004379E8" w14:paraId="0D355DE9" w14:textId="77777777">
      <w:pPr>
        <w:spacing w:after="0" w:line="240" w:lineRule="auto"/>
        <w:textAlignment w:val="baseline"/>
        <w:rPr>
          <w:rFonts w:ascii="Arial" w:hAnsi="Arial" w:eastAsia="Times New Roman" w:cs="Arial"/>
          <w:lang w:val="en-GB" w:eastAsia="en-GB"/>
        </w:rPr>
      </w:pPr>
    </w:p>
    <w:p w:rsidR="00AE2A2C" w:rsidP="004379E8" w:rsidRDefault="004379E8" w14:paraId="4CD97EF2" w14:textId="33608BCF">
      <w:pPr>
        <w:spacing w:after="0" w:line="240" w:lineRule="auto"/>
        <w:textAlignment w:val="baseline"/>
        <w:rPr>
          <w:rFonts w:ascii="Arial" w:hAnsi="Arial" w:eastAsia="Times New Roman" w:cs="Arial"/>
          <w:lang w:val="en-GB" w:eastAsia="en-GB"/>
        </w:rPr>
      </w:pPr>
      <w:r w:rsidRPr="5058D6E4">
        <w:rPr>
          <w:rFonts w:ascii="Arial" w:hAnsi="Arial" w:eastAsia="Times New Roman" w:cs="Arial"/>
          <w:lang w:val="en-GB" w:eastAsia="en-GB"/>
        </w:rPr>
        <w:t xml:space="preserve">Consumers may also benefit from a greater number of higher quality </w:t>
      </w:r>
      <w:r w:rsidRPr="5058D6E4" w:rsidR="00AE2A2C">
        <w:rPr>
          <w:rFonts w:ascii="Arial" w:hAnsi="Arial" w:eastAsia="Times New Roman" w:cs="Arial"/>
          <w:lang w:val="en-GB" w:eastAsia="en-GB"/>
        </w:rPr>
        <w:t>hydrolysed protein</w:t>
      </w:r>
      <w:r w:rsidRPr="5058D6E4">
        <w:rPr>
          <w:rFonts w:ascii="Arial" w:hAnsi="Arial" w:eastAsia="Times New Roman" w:cs="Arial"/>
          <w:lang w:val="en-GB" w:eastAsia="en-GB"/>
        </w:rPr>
        <w:t xml:space="preserve"> products if</w:t>
      </w:r>
      <w:r w:rsidRPr="5058D6E4" w:rsidR="00E31036">
        <w:rPr>
          <w:rFonts w:ascii="Arial" w:hAnsi="Arial" w:eastAsia="Times New Roman" w:cs="Arial"/>
          <w:lang w:val="en-GB" w:eastAsia="en-GB"/>
        </w:rPr>
        <w:t xml:space="preserve"> there is significant</w:t>
      </w:r>
      <w:r w:rsidRPr="5058D6E4">
        <w:rPr>
          <w:rFonts w:ascii="Arial" w:hAnsi="Arial" w:eastAsia="Times New Roman" w:cs="Arial"/>
          <w:lang w:val="en-GB" w:eastAsia="en-GB"/>
        </w:rPr>
        <w:t xml:space="preserve"> </w:t>
      </w:r>
      <w:r w:rsidRPr="5058D6E4" w:rsidR="00E31036">
        <w:rPr>
          <w:rFonts w:ascii="Arial" w:hAnsi="Arial" w:eastAsia="Times New Roman" w:cs="Arial"/>
          <w:lang w:val="en-GB" w:eastAsia="en-GB"/>
        </w:rPr>
        <w:t xml:space="preserve">use of </w:t>
      </w:r>
      <w:r w:rsidRPr="5058D6E4" w:rsidR="00AE2A2C">
        <w:rPr>
          <w:rFonts w:ascii="Arial" w:hAnsi="Arial" w:eastAsia="Times New Roman" w:cs="Arial"/>
          <w:lang w:val="en-GB" w:eastAsia="en-GB"/>
        </w:rPr>
        <w:t xml:space="preserve">this </w:t>
      </w:r>
      <w:r w:rsidRPr="5058D6E4" w:rsidR="00AE2A2C">
        <w:rPr>
          <w:rFonts w:ascii="Arial" w:hAnsi="Arial" w:eastAsia="Times New Roman" w:cs="Times New Roman"/>
          <w:lang w:val="en-GB" w:bidi="en-US"/>
        </w:rPr>
        <w:t>enzyme</w:t>
      </w:r>
      <w:r w:rsidRPr="5058D6E4" w:rsidR="00E31036">
        <w:rPr>
          <w:rFonts w:ascii="Arial" w:hAnsi="Arial" w:eastAsia="Times New Roman" w:cs="Times New Roman"/>
          <w:lang w:val="en-GB" w:bidi="en-US"/>
        </w:rPr>
        <w:t xml:space="preserve"> for that purpose.</w:t>
      </w:r>
      <w:r w:rsidRPr="007E6004" w:rsidR="007E6004">
        <w:t xml:space="preserve"> </w:t>
      </w:r>
      <w:r w:rsidRPr="007E6004" w:rsidR="007E6004">
        <w:rPr>
          <w:rFonts w:ascii="Arial" w:hAnsi="Arial" w:eastAsia="Times New Roman" w:cs="Times New Roman"/>
          <w:lang w:val="en-GB" w:bidi="en-US"/>
        </w:rPr>
        <w:t>Industry may pass some of the possible cost savings from using the enzyme as proposed onto consumers.”</w:t>
      </w:r>
    </w:p>
    <w:p w:rsidR="004379E8" w:rsidP="004379E8" w:rsidRDefault="004379E8" w14:paraId="5FFC57EE" w14:textId="7093166B">
      <w:pPr>
        <w:spacing w:after="0" w:line="240" w:lineRule="auto"/>
        <w:textAlignment w:val="baseline"/>
        <w:rPr>
          <w:rFonts w:ascii="Arial" w:hAnsi="Arial" w:eastAsia="Times New Roman" w:cs="Arial"/>
          <w:lang w:val="en-GB" w:eastAsia="en-GB"/>
        </w:rPr>
      </w:pPr>
    </w:p>
    <w:p w:rsidR="004379E8" w:rsidP="004379E8" w:rsidRDefault="004379E8" w14:paraId="0BCF5770" w14:textId="77777777">
      <w:pPr>
        <w:spacing w:after="0" w:line="240" w:lineRule="auto"/>
        <w:textAlignment w:val="baseline"/>
        <w:rPr>
          <w:rFonts w:ascii="Arial" w:hAnsi="Arial" w:eastAsia="Times New Roman" w:cs="Arial"/>
          <w:i/>
          <w:iCs/>
          <w:lang w:val="en-GB" w:eastAsia="en-GB"/>
        </w:rPr>
      </w:pPr>
      <w:r w:rsidRPr="004379E8">
        <w:rPr>
          <w:rFonts w:ascii="Arial" w:hAnsi="Arial" w:eastAsia="Times New Roman" w:cs="Arial"/>
          <w:i/>
          <w:iCs/>
          <w:lang w:val="en-GB" w:eastAsia="en-GB"/>
        </w:rPr>
        <w:t>Government</w:t>
      </w:r>
    </w:p>
    <w:p w:rsidR="004379E8" w:rsidP="004379E8" w:rsidRDefault="004379E8" w14:paraId="1C7979E1" w14:textId="77777777">
      <w:pPr>
        <w:spacing w:after="0" w:line="240" w:lineRule="auto"/>
        <w:textAlignment w:val="baseline"/>
        <w:rPr>
          <w:rFonts w:ascii="Arial" w:hAnsi="Arial" w:eastAsia="Times New Roman" w:cs="Arial"/>
          <w:lang w:val="en-GB" w:eastAsia="en-GB"/>
        </w:rPr>
      </w:pPr>
    </w:p>
    <w:p w:rsidR="00AE2A2C" w:rsidP="004379E8" w:rsidRDefault="004379E8" w14:paraId="431B3AE2" w14:textId="3F8D317B">
      <w:pPr>
        <w:spacing w:after="0" w:line="240" w:lineRule="auto"/>
        <w:textAlignment w:val="baseline"/>
        <w:rPr>
          <w:rFonts w:ascii="Arial" w:hAnsi="Arial" w:eastAsia="Times New Roman" w:cs="Arial"/>
          <w:lang w:val="en-GB" w:eastAsia="en-GB"/>
        </w:rPr>
      </w:pPr>
      <w:r w:rsidRPr="5058D6E4">
        <w:rPr>
          <w:rFonts w:ascii="Arial" w:hAnsi="Arial" w:eastAsia="Times New Roman" w:cs="Arial"/>
          <w:lang w:val="en-GB" w:eastAsia="en-GB"/>
        </w:rPr>
        <w:t xml:space="preserve">Permitting </w:t>
      </w:r>
      <w:r w:rsidRPr="5058D6E4" w:rsidR="00BD0700">
        <w:rPr>
          <w:rFonts w:ascii="Arial" w:hAnsi="Arial" w:eastAsia="Times New Roman" w:cs="Arial"/>
          <w:lang w:val="en-GB" w:eastAsia="en-GB"/>
        </w:rPr>
        <w:t xml:space="preserve">the proposed use of </w:t>
      </w:r>
      <w:r w:rsidRPr="5058D6E4" w:rsidR="00DE4A4E">
        <w:rPr>
          <w:rFonts w:ascii="Arial" w:hAnsi="Arial" w:eastAsia="Times New Roman" w:cs="Arial"/>
          <w:lang w:val="en-GB" w:eastAsia="en-GB"/>
        </w:rPr>
        <w:t xml:space="preserve">the enzyme </w:t>
      </w:r>
      <w:r w:rsidRPr="5058D6E4" w:rsidR="00D279DC">
        <w:rPr>
          <w:rFonts w:ascii="Arial" w:hAnsi="Arial" w:eastAsia="Times New Roman" w:cs="Arial"/>
          <w:lang w:val="en-GB" w:eastAsia="en-GB"/>
        </w:rPr>
        <w:t xml:space="preserve">as a processing aid </w:t>
      </w:r>
      <w:r w:rsidRPr="5058D6E4">
        <w:rPr>
          <w:rFonts w:ascii="Arial" w:hAnsi="Arial" w:eastAsia="Times New Roman" w:cs="Arial"/>
          <w:lang w:val="en-GB" w:eastAsia="en-GB"/>
        </w:rPr>
        <w:t>may result in a small cost to government in terms of adding the new processing aid to the current range of processing aids that are monitored for compliance.</w:t>
      </w:r>
      <w:r w:rsidRPr="5058D6E4" w:rsidR="00D279DC">
        <w:rPr>
          <w:rFonts w:ascii="Arial" w:hAnsi="Arial" w:eastAsia="Times New Roman" w:cs="Arial"/>
          <w:lang w:val="en-GB" w:eastAsia="en-GB"/>
        </w:rPr>
        <w:t xml:space="preserve"> </w:t>
      </w:r>
    </w:p>
    <w:p w:rsidRPr="004379E8" w:rsidR="00AE2A2C" w:rsidP="004379E8" w:rsidRDefault="00AE2A2C" w14:paraId="532A22EF" w14:textId="77777777">
      <w:pPr>
        <w:spacing w:after="0" w:line="240" w:lineRule="auto"/>
        <w:textAlignment w:val="baseline"/>
        <w:rPr>
          <w:rFonts w:ascii="Arial" w:hAnsi="Arial" w:eastAsia="Times New Roman" w:cs="Arial"/>
          <w:lang w:val="en-GB" w:eastAsia="en-GB"/>
        </w:rPr>
      </w:pPr>
    </w:p>
    <w:p w:rsidR="00AE2A2C" w:rsidP="004379E8" w:rsidRDefault="004379E8" w14:paraId="14855513" w14:textId="46BB74C8">
      <w:pPr>
        <w:spacing w:after="0" w:line="240" w:lineRule="auto"/>
        <w:textAlignment w:val="baseline"/>
        <w:rPr>
          <w:rFonts w:ascii="Arial" w:hAnsi="Arial" w:eastAsia="Times New Roman" w:cs="Arial"/>
          <w:lang w:val="en-GB" w:eastAsia="en-GB"/>
        </w:rPr>
      </w:pPr>
      <w:r w:rsidRPr="004379E8">
        <w:rPr>
          <w:rFonts w:ascii="Arial" w:hAnsi="Arial" w:eastAsia="Times New Roman" w:cs="Arial"/>
          <w:i/>
          <w:iCs/>
          <w:lang w:val="en-GB" w:eastAsia="en-GB"/>
        </w:rPr>
        <w:t>Conclusions from cost benefit considerations</w:t>
      </w:r>
    </w:p>
    <w:p w:rsidRPr="004379E8" w:rsidR="00AE2A2C" w:rsidP="004379E8" w:rsidRDefault="00AE2A2C" w14:paraId="0F5ACEC8" w14:textId="77777777">
      <w:pPr>
        <w:spacing w:after="0" w:line="240" w:lineRule="auto"/>
        <w:textAlignment w:val="baseline"/>
        <w:rPr>
          <w:rFonts w:ascii="Arial" w:hAnsi="Arial" w:eastAsia="Times New Roman" w:cs="Arial"/>
          <w:lang w:val="en-GB" w:eastAsia="en-GB"/>
        </w:rPr>
      </w:pPr>
    </w:p>
    <w:p w:rsidR="004379E8" w:rsidP="004379E8" w:rsidRDefault="004379E8" w14:paraId="2AE576F5" w14:textId="24CFE445">
      <w:pPr>
        <w:spacing w:after="0" w:line="240" w:lineRule="auto"/>
        <w:textAlignment w:val="baseline"/>
        <w:rPr>
          <w:rFonts w:ascii="Arial" w:hAnsi="Arial" w:eastAsia="Times New Roman" w:cs="Arial"/>
          <w:lang w:val="en-GB" w:eastAsia="en-GB"/>
        </w:rPr>
      </w:pPr>
      <w:r w:rsidRPr="5058D6E4">
        <w:rPr>
          <w:rFonts w:ascii="Arial" w:hAnsi="Arial" w:eastAsia="Times New Roman" w:cs="Arial"/>
          <w:lang w:val="en-GB" w:eastAsia="en-GB"/>
        </w:rPr>
        <w:t xml:space="preserve">FSANZ’s assessment </w:t>
      </w:r>
      <w:r w:rsidRPr="5058D6E4" w:rsidR="00D279DC">
        <w:rPr>
          <w:rFonts w:ascii="Arial" w:hAnsi="Arial" w:eastAsia="Times New Roman" w:cs="Arial"/>
          <w:lang w:val="en-GB" w:eastAsia="en-GB"/>
        </w:rPr>
        <w:t xml:space="preserve">at the call for submissions </w:t>
      </w:r>
      <w:r w:rsidRPr="5058D6E4">
        <w:rPr>
          <w:rFonts w:ascii="Arial" w:hAnsi="Arial" w:eastAsia="Times New Roman" w:cs="Arial"/>
          <w:lang w:val="en-GB" w:eastAsia="en-GB"/>
        </w:rPr>
        <w:t xml:space="preserve">was that the direct and indirect benefits that would arise from permitting the </w:t>
      </w:r>
      <w:r w:rsidRPr="5058D6E4" w:rsidR="00820AB2">
        <w:rPr>
          <w:rFonts w:ascii="Arial" w:hAnsi="Arial" w:eastAsia="Times New Roman" w:cs="Arial"/>
          <w:lang w:val="en-GB" w:eastAsia="en-GB"/>
        </w:rPr>
        <w:t xml:space="preserve">proposed </w:t>
      </w:r>
      <w:r w:rsidRPr="5058D6E4">
        <w:rPr>
          <w:rFonts w:ascii="Arial" w:hAnsi="Arial" w:eastAsia="Times New Roman" w:cs="Arial"/>
          <w:lang w:val="en-GB" w:eastAsia="en-GB"/>
        </w:rPr>
        <w:t xml:space="preserve">use of the enzyme </w:t>
      </w:r>
      <w:r w:rsidRPr="5058D6E4" w:rsidR="00C52AA2">
        <w:rPr>
          <w:rFonts w:ascii="Arial" w:hAnsi="Arial" w:eastAsia="Times New Roman" w:cs="Times New Roman"/>
          <w:lang w:val="en-GB" w:bidi="en-US"/>
        </w:rPr>
        <w:t>as a processing aid</w:t>
      </w:r>
      <w:r w:rsidRPr="5058D6E4">
        <w:rPr>
          <w:rFonts w:ascii="Arial" w:hAnsi="Arial" w:eastAsia="Times New Roman" w:cs="Arial"/>
          <w:lang w:val="en-GB" w:eastAsia="en-GB"/>
        </w:rPr>
        <w:t xml:space="preserve"> most likely outweigh the associated costs.</w:t>
      </w:r>
      <w:r w:rsidRPr="5058D6E4" w:rsidR="00D279DC">
        <w:rPr>
          <w:rFonts w:ascii="Arial" w:hAnsi="Arial" w:eastAsia="Times New Roman" w:cs="Arial"/>
          <w:lang w:val="en-GB" w:eastAsia="en-GB"/>
        </w:rPr>
        <w:t xml:space="preserve"> No further information was received during the consultation process </w:t>
      </w:r>
      <w:r w:rsidRPr="5058D6E4" w:rsidR="00EE4A4E">
        <w:rPr>
          <w:rFonts w:ascii="Arial" w:hAnsi="Arial" w:eastAsia="Times New Roman" w:cs="Arial"/>
          <w:lang w:val="en-GB" w:eastAsia="en-GB"/>
        </w:rPr>
        <w:t>to</w:t>
      </w:r>
      <w:r w:rsidRPr="5058D6E4" w:rsidR="00D279DC">
        <w:rPr>
          <w:rFonts w:ascii="Arial" w:hAnsi="Arial" w:eastAsia="Times New Roman" w:cs="Arial"/>
          <w:lang w:val="en-GB" w:eastAsia="en-GB"/>
        </w:rPr>
        <w:t xml:space="preserve"> change that assessment.</w:t>
      </w:r>
    </w:p>
    <w:p w:rsidRPr="00A05EC6" w:rsidR="00E26D23" w:rsidP="00A05EC6" w:rsidRDefault="00E26D23" w14:paraId="18AEA63C" w14:textId="1A2224AB">
      <w:pPr>
        <w:pStyle w:val="Heading3"/>
        <w:rPr>
          <w:b w:val="0"/>
          <w:i/>
          <w:color w:val="auto"/>
          <w:szCs w:val="22"/>
        </w:rPr>
      </w:pPr>
      <w:bookmarkStart w:name="_Toc110434606" w:id="121"/>
      <w:r w:rsidRPr="00A05EC6">
        <w:rPr>
          <w:b w:val="0"/>
          <w:i/>
          <w:color w:val="auto"/>
          <w:szCs w:val="22"/>
        </w:rPr>
        <w:t>2.5.1.2</w:t>
      </w:r>
      <w:r w:rsidRPr="00A05EC6">
        <w:rPr>
          <w:b w:val="0"/>
          <w:i/>
          <w:color w:val="auto"/>
          <w:szCs w:val="22"/>
        </w:rPr>
        <w:tab/>
      </w:r>
      <w:r w:rsidRPr="00A05EC6">
        <w:rPr>
          <w:b w:val="0"/>
          <w:i/>
          <w:color w:val="auto"/>
          <w:szCs w:val="22"/>
        </w:rPr>
        <w:t>Other measures</w:t>
      </w:r>
      <w:bookmarkEnd w:id="121"/>
    </w:p>
    <w:p w:rsidRPr="00AE2A2C" w:rsidR="00E26D23" w:rsidP="346EAF37" w:rsidRDefault="00E26D23" w14:paraId="7F2C0C28" w14:textId="0065365C">
      <w:pPr>
        <w:widowControl w:val="0"/>
        <w:spacing w:after="0" w:line="240" w:lineRule="auto"/>
        <w:rPr>
          <w:rFonts w:ascii="Arial" w:hAnsi="Arial" w:eastAsia="Times New Roman" w:cs="Times New Roman"/>
          <w:lang w:val="en-GB" w:bidi="en-US"/>
        </w:rPr>
      </w:pPr>
      <w:r w:rsidRPr="346EAF37">
        <w:rPr>
          <w:rFonts w:ascii="Arial" w:hAnsi="Arial" w:eastAsia="Times New Roman" w:cs="Times New Roman"/>
          <w:lang w:val="en-GB" w:bidi="en-US"/>
        </w:rPr>
        <w:t xml:space="preserve">There are no other measures (whether available to FSANZ or not) that would be more cost-effective than a food regulatory measure developed or varied because of the </w:t>
      </w:r>
      <w:r w:rsidRPr="346EAF37" w:rsidR="00AE2A2C">
        <w:rPr>
          <w:rFonts w:ascii="Arial" w:hAnsi="Arial" w:eastAsia="Times New Roman" w:cs="Times New Roman"/>
          <w:lang w:val="en-GB" w:bidi="en-US"/>
        </w:rPr>
        <w:t>application</w:t>
      </w:r>
      <w:r w:rsidRPr="346EAF37">
        <w:rPr>
          <w:rFonts w:ascii="Arial" w:hAnsi="Arial" w:eastAsia="Times New Roman" w:cs="Times New Roman"/>
          <w:lang w:val="en-GB" w:bidi="en-US"/>
        </w:rPr>
        <w:t>.</w:t>
      </w:r>
    </w:p>
    <w:p w:rsidRPr="00A05EC6" w:rsidR="00E26D23" w:rsidP="00A05EC6" w:rsidRDefault="00E26D23" w14:paraId="57DB5BDB" w14:textId="77777777">
      <w:pPr>
        <w:pStyle w:val="Heading3"/>
        <w:rPr>
          <w:b w:val="0"/>
          <w:i/>
          <w:color w:val="auto"/>
          <w:szCs w:val="22"/>
        </w:rPr>
      </w:pPr>
      <w:bookmarkStart w:name="_Toc110434607" w:id="122"/>
      <w:r w:rsidRPr="00A05EC6">
        <w:rPr>
          <w:b w:val="0"/>
          <w:i/>
          <w:color w:val="auto"/>
          <w:szCs w:val="22"/>
        </w:rPr>
        <w:t>2.5.1.3</w:t>
      </w:r>
      <w:r w:rsidRPr="00A05EC6">
        <w:rPr>
          <w:b w:val="0"/>
          <w:i/>
          <w:color w:val="auto"/>
          <w:szCs w:val="22"/>
        </w:rPr>
        <w:tab/>
      </w:r>
      <w:r w:rsidRPr="00A05EC6">
        <w:rPr>
          <w:b w:val="0"/>
          <w:i/>
          <w:color w:val="auto"/>
          <w:szCs w:val="22"/>
        </w:rPr>
        <w:t>Any relevant New Zealand standards</w:t>
      </w:r>
      <w:bookmarkEnd w:id="122"/>
    </w:p>
    <w:p w:rsidRPr="00AE2A2C" w:rsidR="00AE2A2C" w:rsidP="00AE2A2C" w:rsidRDefault="00AE2A2C" w14:paraId="37326121" w14:textId="322CE580">
      <w:pPr>
        <w:rPr>
          <w:rFonts w:ascii="Arial" w:hAnsi="Arial" w:cs="Arial"/>
          <w:lang w:val="en-GB" w:bidi="en-US"/>
        </w:rPr>
      </w:pPr>
      <w:r w:rsidRPr="00AE2A2C">
        <w:rPr>
          <w:rFonts w:ascii="Arial" w:hAnsi="Arial" w:cs="Arial"/>
          <w:lang w:val="en-GB" w:bidi="en-US"/>
        </w:rPr>
        <w:t>The relevant standards apply in both Australia and New Zealand. There are no other relevant New Zealand only standards</w:t>
      </w:r>
      <w:r>
        <w:rPr>
          <w:rFonts w:ascii="Arial" w:hAnsi="Arial" w:cs="Arial"/>
          <w:lang w:val="en-GB" w:bidi="en-US"/>
        </w:rPr>
        <w:t>.</w:t>
      </w:r>
      <w:r w:rsidRPr="00AE2A2C">
        <w:rPr>
          <w:rFonts w:ascii="Arial" w:hAnsi="Arial" w:cs="Arial"/>
          <w:lang w:val="en-GB" w:bidi="en-US"/>
        </w:rPr>
        <w:t xml:space="preserve"> </w:t>
      </w:r>
    </w:p>
    <w:p w:rsidRPr="00A05EC6" w:rsidR="00E26D23" w:rsidP="00A05EC6" w:rsidRDefault="00E26D23" w14:paraId="17758A96" w14:textId="117100A4">
      <w:pPr>
        <w:pStyle w:val="Heading3"/>
        <w:rPr>
          <w:b w:val="0"/>
          <w:i/>
          <w:color w:val="auto"/>
          <w:szCs w:val="22"/>
        </w:rPr>
      </w:pPr>
      <w:bookmarkStart w:name="_Toc110434608" w:id="123"/>
      <w:r w:rsidRPr="00A05EC6">
        <w:rPr>
          <w:b w:val="0"/>
          <w:i/>
          <w:color w:val="auto"/>
          <w:szCs w:val="22"/>
        </w:rPr>
        <w:t>2.5.1.4</w:t>
      </w:r>
      <w:r w:rsidRPr="00A05EC6">
        <w:rPr>
          <w:b w:val="0"/>
          <w:i/>
          <w:color w:val="auto"/>
          <w:szCs w:val="22"/>
        </w:rPr>
        <w:tab/>
      </w:r>
      <w:r w:rsidRPr="00A05EC6">
        <w:rPr>
          <w:b w:val="0"/>
          <w:i/>
          <w:color w:val="auto"/>
          <w:szCs w:val="22"/>
        </w:rPr>
        <w:t>Any other relevant matters</w:t>
      </w:r>
      <w:bookmarkEnd w:id="123"/>
    </w:p>
    <w:p w:rsidRPr="00E26D23" w:rsidR="00E26D23" w:rsidP="00E26D23" w:rsidRDefault="00E26D23" w14:paraId="7D189F62" w14:textId="77777777">
      <w:pPr>
        <w:widowControl w:val="0"/>
        <w:spacing w:after="0" w:line="240" w:lineRule="auto"/>
        <w:rPr>
          <w:rFonts w:ascii="Arial" w:hAnsi="Arial" w:eastAsia="Times New Roman" w:cs="Times New Roman"/>
          <w:szCs w:val="24"/>
          <w:lang w:val="en-GB"/>
        </w:rPr>
      </w:pPr>
      <w:bookmarkStart w:name="_Toc370223479" w:id="124"/>
      <w:bookmarkStart w:name="_Toc370225394" w:id="125"/>
      <w:bookmarkStart w:name="_Toc300761897" w:id="126"/>
      <w:bookmarkStart w:name="_Toc300933440" w:id="127"/>
      <w:r w:rsidRPr="00E26D23">
        <w:rPr>
          <w:rFonts w:ascii="Arial" w:hAnsi="Arial" w:eastAsia="Times New Roman" w:cs="Times New Roman"/>
          <w:szCs w:val="24"/>
          <w:lang w:val="en-GB" w:bidi="en-US"/>
        </w:rPr>
        <w:t>Other relevant matters are considered below</w:t>
      </w:r>
      <w:r w:rsidRPr="00E26D23">
        <w:rPr>
          <w:rFonts w:ascii="Arial" w:hAnsi="Arial" w:eastAsia="Times New Roman" w:cs="Times New Roman"/>
          <w:szCs w:val="24"/>
          <w:lang w:val="en-GB"/>
        </w:rPr>
        <w:t>.</w:t>
      </w:r>
      <w:r w:rsidRPr="00E26D23">
        <w:rPr>
          <w:rFonts w:ascii="Arial" w:hAnsi="Arial" w:eastAsia="Times New Roman" w:cs="Times New Roman"/>
          <w:szCs w:val="24"/>
          <w:lang w:val="en-GB" w:bidi="en-US"/>
        </w:rPr>
        <w:t xml:space="preserve"> </w:t>
      </w:r>
    </w:p>
    <w:p w:rsidRPr="00A05EC6" w:rsidR="00E26D23" w:rsidP="00A05EC6" w:rsidRDefault="00E26D23" w14:paraId="34A76CBC" w14:textId="77777777">
      <w:pPr>
        <w:pStyle w:val="Heading3"/>
        <w:rPr>
          <w:rFonts w:eastAsiaTheme="majorEastAsia"/>
          <w:i/>
        </w:rPr>
      </w:pPr>
      <w:bookmarkStart w:name="_Toc110434609" w:id="128"/>
      <w:r w:rsidRPr="00A05EC6">
        <w:rPr>
          <w:rFonts w:eastAsiaTheme="majorEastAsia"/>
          <w:i/>
        </w:rPr>
        <w:t>2.5.2.</w:t>
      </w:r>
      <w:r w:rsidRPr="00A05EC6">
        <w:rPr>
          <w:rFonts w:eastAsiaTheme="majorEastAsia"/>
          <w:i/>
        </w:rPr>
        <w:tab/>
      </w:r>
      <w:r w:rsidRPr="00A05EC6">
        <w:rPr>
          <w:rFonts w:eastAsiaTheme="majorEastAsia"/>
          <w:i/>
        </w:rPr>
        <w:t>Subsection 18(1)</w:t>
      </w:r>
      <w:bookmarkEnd w:id="124"/>
      <w:bookmarkEnd w:id="125"/>
      <w:bookmarkEnd w:id="128"/>
      <w:r w:rsidRPr="00A05EC6">
        <w:rPr>
          <w:rFonts w:eastAsiaTheme="majorEastAsia"/>
          <w:i/>
        </w:rPr>
        <w:t xml:space="preserve"> </w:t>
      </w:r>
      <w:bookmarkEnd w:id="126"/>
      <w:bookmarkEnd w:id="127"/>
    </w:p>
    <w:p w:rsidRPr="00E26D23" w:rsidR="00E26D23" w:rsidP="00E26D23" w:rsidRDefault="00E26D23" w14:paraId="16034523" w14:textId="77777777">
      <w:pPr>
        <w:widowControl w:val="0"/>
        <w:spacing w:after="0" w:line="240" w:lineRule="auto"/>
        <w:rPr>
          <w:rFonts w:ascii="Arial" w:hAnsi="Arial" w:eastAsia="Times New Roman" w:cs="Times New Roman"/>
          <w:szCs w:val="24"/>
          <w:lang w:val="en-GB" w:bidi="en-US"/>
        </w:rPr>
      </w:pPr>
      <w:r w:rsidRPr="00E26D23">
        <w:rPr>
          <w:rFonts w:ascii="Arial" w:hAnsi="Arial" w:eastAsia="Times New Roman" w:cs="Arial"/>
          <w:szCs w:val="24"/>
          <w:lang w:val="en-GB" w:bidi="en-US"/>
        </w:rPr>
        <w:t xml:space="preserve">FSANZ has also </w:t>
      </w:r>
      <w:r w:rsidRPr="00E26D23">
        <w:rPr>
          <w:rFonts w:ascii="Arial" w:hAnsi="Arial" w:eastAsia="Times New Roman" w:cs="Times New Roman"/>
          <w:szCs w:val="24"/>
          <w:lang w:val="en-GB" w:bidi="en-US"/>
        </w:rPr>
        <w:t>considered the three objectives in subsection 18(1) of the FSANZ Act during the assessment.</w:t>
      </w:r>
    </w:p>
    <w:p w:rsidRPr="00A05EC6" w:rsidR="00E26D23" w:rsidP="00A05EC6" w:rsidRDefault="00E26D23" w14:paraId="16800537" w14:textId="77777777">
      <w:pPr>
        <w:pStyle w:val="Heading3"/>
        <w:rPr>
          <w:b w:val="0"/>
          <w:i/>
          <w:color w:val="auto"/>
          <w:szCs w:val="22"/>
        </w:rPr>
      </w:pPr>
      <w:bookmarkStart w:name="_Toc297029117" w:id="129"/>
      <w:bookmarkStart w:name="_Toc300761898" w:id="130"/>
      <w:bookmarkStart w:name="_Toc300933441" w:id="131"/>
      <w:bookmarkStart w:name="_Toc110434610" w:id="132"/>
      <w:r w:rsidRPr="00A05EC6">
        <w:rPr>
          <w:b w:val="0"/>
          <w:i/>
          <w:color w:val="auto"/>
          <w:szCs w:val="22"/>
        </w:rPr>
        <w:t>2.5.2.1</w:t>
      </w:r>
      <w:r w:rsidRPr="00A05EC6">
        <w:rPr>
          <w:b w:val="0"/>
          <w:i/>
          <w:color w:val="auto"/>
          <w:szCs w:val="22"/>
        </w:rPr>
        <w:tab/>
      </w:r>
      <w:r w:rsidRPr="00A05EC6">
        <w:rPr>
          <w:b w:val="0"/>
          <w:i/>
          <w:color w:val="auto"/>
          <w:szCs w:val="22"/>
        </w:rPr>
        <w:t>Protection of public health and safety</w:t>
      </w:r>
      <w:bookmarkEnd w:id="129"/>
      <w:bookmarkEnd w:id="130"/>
      <w:bookmarkEnd w:id="131"/>
      <w:bookmarkEnd w:id="132"/>
    </w:p>
    <w:p w:rsidR="001F4507" w:rsidP="001F4507" w:rsidRDefault="001F4507" w14:paraId="2119DC02" w14:textId="41631B0A">
      <w:pPr>
        <w:rPr>
          <w:lang w:val="en-GB" w:eastAsia="en-AU"/>
        </w:rPr>
      </w:pPr>
      <w:bookmarkStart w:name="_Toc300761899" w:id="133"/>
      <w:bookmarkStart w:name="_Toc300933442" w:id="134"/>
      <w:r>
        <w:rPr>
          <w:rStyle w:val="normaltextrun"/>
          <w:rFonts w:ascii="Arial" w:hAnsi="Arial" w:cs="Arial"/>
          <w:color w:val="000000"/>
          <w:shd w:val="clear" w:color="auto" w:fill="FFFFFF"/>
        </w:rPr>
        <w:t xml:space="preserve">FSANZ had undertaken a safety assessment (SD1) and concluded there were no public health and safety concerns with permitting </w:t>
      </w:r>
      <w:r w:rsidRPr="001B7FBA">
        <w:rPr>
          <w:rStyle w:val="normaltextrun"/>
          <w:rFonts w:ascii="Arial" w:hAnsi="Arial" w:cs="Arial"/>
          <w:shd w:val="clear" w:color="auto" w:fill="FFFFFF"/>
        </w:rPr>
        <w:t xml:space="preserve">the use of </w:t>
      </w:r>
      <w:r w:rsidRPr="5058D6E4" w:rsidR="002D49B3">
        <w:rPr>
          <w:rFonts w:ascii="Arial" w:hAnsi="Arial" w:eastAsia="Times New Roman" w:cs="Times New Roman"/>
          <w:lang w:val="en-GB" w:bidi="en-US"/>
        </w:rPr>
        <w:t>the enzyme</w:t>
      </w:r>
      <w:r w:rsidRPr="5058D6E4">
        <w:rPr>
          <w:rStyle w:val="normaltextrun"/>
          <w:rFonts w:ascii="Arial" w:hAnsi="Arial" w:cs="Arial"/>
          <w:i/>
          <w:iCs/>
          <w:color w:val="000000"/>
          <w:shd w:val="clear" w:color="auto" w:fill="FFFFFF"/>
        </w:rPr>
        <w:t xml:space="preserve"> </w:t>
      </w:r>
      <w:r>
        <w:rPr>
          <w:rStyle w:val="normaltextrun"/>
          <w:rFonts w:ascii="Arial" w:hAnsi="Arial" w:cs="Arial"/>
          <w:color w:val="000000"/>
          <w:shd w:val="clear" w:color="auto" w:fill="FFFFFF"/>
        </w:rPr>
        <w:t>as a processing aid in food for the proposed technological purposes.</w:t>
      </w:r>
    </w:p>
    <w:p w:rsidRPr="00A05EC6" w:rsidR="00E26D23" w:rsidP="00A05EC6" w:rsidRDefault="00E26D23" w14:paraId="7AAE6664" w14:textId="0F789C89">
      <w:pPr>
        <w:pStyle w:val="Heading3"/>
        <w:rPr>
          <w:b w:val="0"/>
          <w:i/>
          <w:color w:val="auto"/>
          <w:szCs w:val="22"/>
        </w:rPr>
      </w:pPr>
      <w:bookmarkStart w:name="_Toc110434611" w:id="135"/>
      <w:r w:rsidRPr="00A05EC6">
        <w:rPr>
          <w:b w:val="0"/>
          <w:i/>
          <w:color w:val="auto"/>
          <w:szCs w:val="22"/>
        </w:rPr>
        <w:t>2.5.2.2</w:t>
      </w:r>
      <w:r w:rsidRPr="00A05EC6">
        <w:rPr>
          <w:b w:val="0"/>
          <w:i/>
          <w:color w:val="auto"/>
          <w:szCs w:val="22"/>
        </w:rPr>
        <w:tab/>
      </w:r>
      <w:r w:rsidRPr="00A05EC6">
        <w:rPr>
          <w:b w:val="0"/>
          <w:i/>
          <w:color w:val="auto"/>
          <w:szCs w:val="22"/>
        </w:rPr>
        <w:t>The provision of adequate information relating to food to enable consumers to make informed choices</w:t>
      </w:r>
      <w:bookmarkEnd w:id="133"/>
      <w:bookmarkEnd w:id="134"/>
      <w:bookmarkEnd w:id="135"/>
    </w:p>
    <w:p w:rsidRPr="001B7FBA" w:rsidR="001B7FBA" w:rsidP="001B7FBA" w:rsidRDefault="001B7FBA" w14:paraId="652A27BD" w14:textId="69ABA685">
      <w:pPr>
        <w:rPr>
          <w:rStyle w:val="normaltextrun"/>
          <w:rFonts w:cs="Arial"/>
          <w:color w:val="000000"/>
          <w:shd w:val="clear" w:color="auto" w:fill="FFFFFF"/>
        </w:rPr>
      </w:pPr>
      <w:bookmarkStart w:name="_Toc300761900" w:id="136"/>
      <w:bookmarkStart w:name="_Toc300933443" w:id="137"/>
      <w:r>
        <w:rPr>
          <w:rStyle w:val="normaltextrun"/>
          <w:rFonts w:ascii="Arial" w:hAnsi="Arial" w:cs="Arial"/>
          <w:color w:val="000000"/>
          <w:shd w:val="clear" w:color="auto" w:fill="FFFFFF"/>
        </w:rPr>
        <w:t xml:space="preserve">The labelling requirements related to </w:t>
      </w:r>
      <w:r w:rsidR="00820AB2">
        <w:rPr>
          <w:rStyle w:val="normaltextrun"/>
          <w:rFonts w:ascii="Arial" w:hAnsi="Arial" w:cs="Arial"/>
          <w:color w:val="000000"/>
          <w:shd w:val="clear" w:color="auto" w:fill="FFFFFF"/>
        </w:rPr>
        <w:t>this enzyme</w:t>
      </w:r>
      <w:r w:rsidRPr="5058D6E4">
        <w:rPr>
          <w:rStyle w:val="normaltextrun"/>
          <w:rFonts w:ascii="Arial" w:hAnsi="Arial" w:cs="Arial"/>
          <w:i/>
          <w:iCs/>
          <w:color w:val="000000"/>
          <w:shd w:val="clear" w:color="auto" w:fill="FFFFFF"/>
        </w:rPr>
        <w:t xml:space="preserve"> </w:t>
      </w:r>
      <w:r>
        <w:rPr>
          <w:rStyle w:val="normaltextrun"/>
          <w:rFonts w:ascii="Arial" w:hAnsi="Arial" w:cs="Arial"/>
          <w:color w:val="000000"/>
          <w:shd w:val="clear" w:color="auto" w:fill="FFFFFF"/>
        </w:rPr>
        <w:t>are discussed in section 2.3.3 above</w:t>
      </w:r>
      <w:r w:rsidR="00820AB2">
        <w:rPr>
          <w:rStyle w:val="normaltextrun"/>
          <w:rFonts w:ascii="Arial" w:hAnsi="Arial" w:cs="Arial"/>
          <w:color w:val="000000"/>
          <w:shd w:val="clear" w:color="auto" w:fill="FFFFFF"/>
        </w:rPr>
        <w:t>.</w:t>
      </w:r>
      <w:r w:rsidRPr="001B7FBA">
        <w:rPr>
          <w:rStyle w:val="normaltextrun"/>
          <w:rFonts w:cs="Arial"/>
          <w:color w:val="000000"/>
          <w:shd w:val="clear" w:color="auto" w:fill="FFFFFF"/>
        </w:rPr>
        <w:t xml:space="preserve"> </w:t>
      </w:r>
    </w:p>
    <w:p w:rsidRPr="00A05EC6" w:rsidR="00E26D23" w:rsidP="00A05EC6" w:rsidRDefault="00E26D23" w14:paraId="49B657BD" w14:textId="63418F7A">
      <w:pPr>
        <w:pStyle w:val="Heading3"/>
        <w:rPr>
          <w:b w:val="0"/>
          <w:i/>
          <w:color w:val="auto"/>
          <w:szCs w:val="22"/>
        </w:rPr>
      </w:pPr>
      <w:bookmarkStart w:name="_Toc110434612" w:id="138"/>
      <w:r w:rsidRPr="00A05EC6">
        <w:rPr>
          <w:b w:val="0"/>
          <w:i/>
          <w:color w:val="auto"/>
          <w:szCs w:val="22"/>
        </w:rPr>
        <w:t>2.5.2.3</w:t>
      </w:r>
      <w:r w:rsidRPr="00A05EC6">
        <w:rPr>
          <w:b w:val="0"/>
          <w:i/>
          <w:color w:val="auto"/>
          <w:szCs w:val="22"/>
        </w:rPr>
        <w:tab/>
      </w:r>
      <w:r w:rsidRPr="00A05EC6">
        <w:rPr>
          <w:b w:val="0"/>
          <w:i/>
          <w:color w:val="auto"/>
          <w:szCs w:val="22"/>
        </w:rPr>
        <w:t>The prevention of misleading or deceptive conduct</w:t>
      </w:r>
      <w:bookmarkEnd w:id="136"/>
      <w:bookmarkEnd w:id="137"/>
      <w:bookmarkEnd w:id="138"/>
    </w:p>
    <w:p w:rsidRPr="001B7FBA" w:rsidR="00E26D23" w:rsidP="5058D6E4" w:rsidRDefault="001B7FBA" w14:paraId="7350D3B6" w14:textId="5DFE555F">
      <w:pPr>
        <w:widowControl w:val="0"/>
        <w:spacing w:after="0" w:line="240" w:lineRule="auto"/>
        <w:rPr>
          <w:rFonts w:ascii="Arial" w:hAnsi="Arial" w:eastAsia="Times New Roman" w:cs="Times New Roman"/>
          <w:lang w:val="en-GB" w:bidi="en-US"/>
        </w:rPr>
      </w:pPr>
      <w:r>
        <w:rPr>
          <w:rStyle w:val="normaltextrun"/>
          <w:rFonts w:ascii="Arial" w:hAnsi="Arial" w:cs="Arial"/>
          <w:color w:val="000000"/>
          <w:shd w:val="clear" w:color="auto" w:fill="FFFFFF"/>
        </w:rPr>
        <w:t xml:space="preserve">There were no issues identified with this application relevant to this </w:t>
      </w:r>
      <w:r w:rsidRPr="001B7FBA">
        <w:rPr>
          <w:rStyle w:val="normaltextrun"/>
          <w:rFonts w:ascii="Arial" w:hAnsi="Arial" w:cs="Arial"/>
          <w:shd w:val="clear" w:color="auto" w:fill="FFFFFF"/>
        </w:rPr>
        <w:t>objective</w:t>
      </w:r>
      <w:r w:rsidR="00820AB2">
        <w:rPr>
          <w:rStyle w:val="normaltextrun"/>
          <w:rFonts w:ascii="Arial" w:hAnsi="Arial" w:cs="Arial"/>
          <w:shd w:val="clear" w:color="auto" w:fill="FFFFFF"/>
        </w:rPr>
        <w:t>.</w:t>
      </w:r>
      <w:r w:rsidRPr="5058D6E4">
        <w:rPr>
          <w:rFonts w:ascii="Arial" w:hAnsi="Arial" w:eastAsia="Times New Roman" w:cs="Times New Roman"/>
          <w:lang w:val="en-GB" w:bidi="en-US"/>
        </w:rPr>
        <w:t xml:space="preserve"> </w:t>
      </w:r>
    </w:p>
    <w:p w:rsidRPr="00A05EC6" w:rsidR="00E26D23" w:rsidP="00A05EC6" w:rsidRDefault="00E26D23" w14:paraId="7ED6D617" w14:textId="5BA1F601">
      <w:pPr>
        <w:pStyle w:val="Heading3"/>
        <w:rPr>
          <w:rFonts w:eastAsiaTheme="majorEastAsia"/>
          <w:i/>
        </w:rPr>
      </w:pPr>
      <w:bookmarkStart w:name="_Toc300761901" w:id="139"/>
      <w:bookmarkStart w:name="_Toc300933444" w:id="140"/>
      <w:bookmarkStart w:name="_Toc370223480" w:id="141"/>
      <w:bookmarkStart w:name="_Toc370225395" w:id="142"/>
      <w:bookmarkStart w:name="_Toc110434613" w:id="143"/>
      <w:r w:rsidRPr="00A05EC6">
        <w:rPr>
          <w:rFonts w:eastAsiaTheme="majorEastAsia"/>
          <w:i/>
        </w:rPr>
        <w:lastRenderedPageBreak/>
        <w:t>2.5.3</w:t>
      </w:r>
      <w:r w:rsidRPr="00A05EC6">
        <w:rPr>
          <w:rFonts w:eastAsiaTheme="majorEastAsia"/>
          <w:i/>
        </w:rPr>
        <w:tab/>
      </w:r>
      <w:r w:rsidRPr="00A05EC6">
        <w:rPr>
          <w:rFonts w:eastAsiaTheme="majorEastAsia"/>
          <w:i/>
        </w:rPr>
        <w:t xml:space="preserve">Subsection 18(2) </w:t>
      </w:r>
      <w:bookmarkEnd w:id="139"/>
      <w:bookmarkEnd w:id="140"/>
      <w:r w:rsidRPr="00A05EC6">
        <w:rPr>
          <w:rFonts w:eastAsiaTheme="majorEastAsia"/>
          <w:i/>
        </w:rPr>
        <w:t>considerations</w:t>
      </w:r>
      <w:bookmarkEnd w:id="141"/>
      <w:bookmarkEnd w:id="142"/>
      <w:bookmarkEnd w:id="143"/>
    </w:p>
    <w:p w:rsidRPr="00E26D23" w:rsidR="00E26D23" w:rsidP="00E26D23" w:rsidRDefault="00E26D23" w14:paraId="12E01CA1" w14:textId="77777777">
      <w:pPr>
        <w:widowControl w:val="0"/>
        <w:spacing w:after="0" w:line="240" w:lineRule="auto"/>
        <w:rPr>
          <w:rFonts w:ascii="Arial" w:hAnsi="Arial" w:eastAsia="Times New Roman" w:cs="Arial"/>
          <w:szCs w:val="24"/>
          <w:lang w:val="en-GB" w:bidi="en-US"/>
        </w:rPr>
      </w:pPr>
      <w:r w:rsidRPr="00E26D23">
        <w:rPr>
          <w:rFonts w:ascii="Arial" w:hAnsi="Arial" w:eastAsia="Times New Roman" w:cs="Arial"/>
          <w:szCs w:val="24"/>
          <w:lang w:val="en-GB" w:bidi="en-US"/>
        </w:rPr>
        <w:t>FSANZ has also had regard to:</w:t>
      </w:r>
    </w:p>
    <w:p w:rsidRPr="00E26D23" w:rsidR="00E26D23" w:rsidP="00E26D23" w:rsidRDefault="00E26D23" w14:paraId="3AB71219" w14:textId="77777777">
      <w:pPr>
        <w:widowControl w:val="0"/>
        <w:spacing w:after="0" w:line="240" w:lineRule="auto"/>
        <w:rPr>
          <w:rFonts w:ascii="Arial" w:hAnsi="Arial" w:eastAsia="Times New Roman" w:cs="Arial"/>
          <w:szCs w:val="24"/>
          <w:lang w:val="en-GB" w:bidi="en-US"/>
        </w:rPr>
      </w:pPr>
    </w:p>
    <w:p w:rsidRPr="00E26D23" w:rsidR="00E26D23" w:rsidP="00E84AA2" w:rsidRDefault="00E26D23" w14:paraId="1C3E191C" w14:textId="24B6659C">
      <w:pPr>
        <w:pStyle w:val="ListParagraph"/>
        <w:numPr>
          <w:ilvl w:val="0"/>
          <w:numId w:val="15"/>
        </w:numPr>
        <w:spacing w:after="0" w:line="240" w:lineRule="auto"/>
        <w:rPr>
          <w:rFonts w:ascii="Arial" w:hAnsi="Arial" w:eastAsia="Times New Roman" w:cs="Arial"/>
          <w:b/>
          <w:lang w:val="en-GB"/>
        </w:rPr>
      </w:pPr>
      <w:r w:rsidRPr="61D1C056">
        <w:rPr>
          <w:rFonts w:ascii="Arial" w:hAnsi="Arial" w:eastAsia="Times New Roman" w:cs="Arial"/>
          <w:b/>
          <w:lang w:val="en-GB"/>
        </w:rPr>
        <w:t>the need for standards to be based on risk analysis using the best available scientific evidence</w:t>
      </w:r>
    </w:p>
    <w:p w:rsidRPr="00E26D23" w:rsidR="00E26D23" w:rsidP="00E26D23" w:rsidRDefault="00E26D23" w14:paraId="1555FA5A" w14:textId="77777777">
      <w:pPr>
        <w:widowControl w:val="0"/>
        <w:spacing w:after="0" w:line="240" w:lineRule="auto"/>
        <w:rPr>
          <w:rFonts w:ascii="Arial" w:hAnsi="Arial" w:eastAsia="Times New Roman" w:cs="Times New Roman"/>
          <w:szCs w:val="24"/>
          <w:lang w:val="en-GB"/>
        </w:rPr>
      </w:pPr>
    </w:p>
    <w:p w:rsidRPr="00FA65D5" w:rsidR="00E26D23" w:rsidP="5058D6E4" w:rsidRDefault="00FA65D5" w14:paraId="1E72047F" w14:textId="5168CFF9">
      <w:pPr>
        <w:widowControl w:val="0"/>
        <w:spacing w:after="0" w:line="240" w:lineRule="auto"/>
        <w:rPr>
          <w:rFonts w:ascii="Arial" w:hAnsi="Arial" w:eastAsia="Times New Roman" w:cs="Times New Roman"/>
          <w:lang w:val="en-GB" w:bidi="en-US"/>
        </w:rPr>
      </w:pPr>
      <w:r>
        <w:rPr>
          <w:rStyle w:val="normaltextrun"/>
          <w:rFonts w:ascii="Arial" w:hAnsi="Arial" w:cs="Arial"/>
          <w:color w:val="000000"/>
          <w:shd w:val="clear" w:color="auto" w:fill="FFFFFF"/>
        </w:rPr>
        <w:t xml:space="preserve">FSANZ had used the best available scientific evidence to conduct the risk analysis, which is provided in SD1. The applicant submitted a dossier of scientific studies as part of the application. </w:t>
      </w:r>
      <w:r w:rsidRPr="00997748" w:rsidR="00997748">
        <w:rPr>
          <w:rStyle w:val="normaltextrun"/>
          <w:rFonts w:ascii="Arial" w:hAnsi="Arial" w:cs="Arial"/>
          <w:color w:val="000000"/>
          <w:shd w:val="clear" w:color="auto" w:fill="FFFFFF"/>
        </w:rPr>
        <w:t xml:space="preserve">FSANZ had regard to </w:t>
      </w:r>
      <w:r w:rsidR="00997748">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 xml:space="preserve">his dossier, together with other </w:t>
      </w:r>
      <w:r w:rsidRPr="00FA65D5">
        <w:rPr>
          <w:rStyle w:val="normaltextrun"/>
          <w:rFonts w:ascii="Arial" w:hAnsi="Arial" w:cs="Arial"/>
          <w:shd w:val="clear" w:color="auto" w:fill="FFFFFF"/>
        </w:rPr>
        <w:t>technical information including scientific literature, in assessing the application.</w:t>
      </w:r>
    </w:p>
    <w:p w:rsidRPr="00E26D23" w:rsidR="00E26D23" w:rsidP="00E26D23" w:rsidRDefault="00E26D23" w14:paraId="17233FA6" w14:textId="77777777">
      <w:pPr>
        <w:widowControl w:val="0"/>
        <w:spacing w:after="0" w:line="240" w:lineRule="auto"/>
        <w:rPr>
          <w:rFonts w:ascii="Arial" w:hAnsi="Arial" w:eastAsia="Times New Roman" w:cs="Times New Roman"/>
          <w:szCs w:val="24"/>
          <w:lang w:val="en-GB"/>
        </w:rPr>
      </w:pPr>
    </w:p>
    <w:p w:rsidRPr="00E26D23" w:rsidR="00E26D23" w:rsidP="00E84AA2" w:rsidRDefault="00E26D23" w14:paraId="3E4D9008" w14:textId="61FADDD3">
      <w:pPr>
        <w:pStyle w:val="ListParagraph"/>
        <w:numPr>
          <w:ilvl w:val="0"/>
          <w:numId w:val="14"/>
        </w:numPr>
        <w:spacing w:after="0" w:line="240" w:lineRule="auto"/>
        <w:rPr>
          <w:rFonts w:ascii="Arial" w:hAnsi="Arial" w:eastAsia="Times New Roman" w:cs="Arial"/>
          <w:b/>
          <w:lang w:val="en-GB"/>
        </w:rPr>
      </w:pPr>
      <w:r w:rsidRPr="61D1C056">
        <w:rPr>
          <w:rFonts w:ascii="Arial" w:hAnsi="Arial" w:eastAsia="Times New Roman" w:cs="Arial"/>
          <w:b/>
          <w:lang w:val="en-GB"/>
        </w:rPr>
        <w:t>the promotion of consistency between domestic and international food standards</w:t>
      </w:r>
    </w:p>
    <w:p w:rsidRPr="00E26D23" w:rsidR="00E26D23" w:rsidP="00E26D23" w:rsidRDefault="00E26D23" w14:paraId="409B5CBF" w14:textId="77777777">
      <w:pPr>
        <w:widowControl w:val="0"/>
        <w:spacing w:after="0" w:line="240" w:lineRule="auto"/>
        <w:rPr>
          <w:rFonts w:ascii="Arial" w:hAnsi="Arial" w:eastAsia="Times New Roman" w:cs="Times New Roman"/>
          <w:szCs w:val="24"/>
          <w:lang w:val="en-GB"/>
        </w:rPr>
      </w:pPr>
    </w:p>
    <w:p w:rsidRPr="00D54FED" w:rsidR="00D54FED" w:rsidP="00D54FED" w:rsidRDefault="00D54FED" w14:paraId="23768026" w14:textId="0EE91828">
      <w:pPr>
        <w:rPr>
          <w:rFonts w:ascii="Arial" w:hAnsi="Arial" w:cs="Arial"/>
        </w:rPr>
      </w:pPr>
      <w:r w:rsidRPr="5058D6E4">
        <w:rPr>
          <w:rFonts w:ascii="Arial" w:hAnsi="Arial" w:cs="Arial"/>
        </w:rPr>
        <w:t xml:space="preserve">In terms of food safety, the relevant international standard setting body is the Codex Alimentarius Commission (Codex). In contrast to food additives, there is no Codex Alimentarius ‘general standard’ for enzymes. </w:t>
      </w:r>
      <w:r w:rsidRPr="5058D6E4" w:rsidR="00DB6B7F">
        <w:rPr>
          <w:rFonts w:ascii="Arial" w:hAnsi="Arial" w:cs="Arial"/>
        </w:rPr>
        <w:t xml:space="preserve">However, there are relevant identity and purity specifications for enzymes in Schedule 3 of the Code with which this enzyme must comply. </w:t>
      </w:r>
      <w:r w:rsidRPr="5058D6E4" w:rsidR="00740AD5">
        <w:rPr>
          <w:rFonts w:ascii="Arial" w:hAnsi="Arial" w:eastAsia="Times New Roman" w:cs="Times New Roman"/>
          <w:lang w:val="en-GB" w:bidi="en-US"/>
        </w:rPr>
        <w:t>AB Enzymes</w:t>
      </w:r>
      <w:r w:rsidRPr="5058D6E4" w:rsidR="00740AD5">
        <w:rPr>
          <w:rFonts w:ascii="Arial" w:hAnsi="Arial" w:cs="Arial"/>
        </w:rPr>
        <w:t xml:space="preserve"> </w:t>
      </w:r>
      <w:r w:rsidRPr="5058D6E4">
        <w:rPr>
          <w:rFonts w:ascii="Arial" w:hAnsi="Arial" w:cs="Arial"/>
        </w:rPr>
        <w:t xml:space="preserve">provided evidence that their thermomycolin enzyme preparation complies </w:t>
      </w:r>
      <w:r w:rsidRPr="007E6004" w:rsidR="007E6004">
        <w:rPr>
          <w:rFonts w:ascii="Arial" w:hAnsi="Arial" w:cs="Arial"/>
        </w:rPr>
        <w:t>the specifications listed in the Joint FAO/WHO Expert Committee on Food Additives (JECFA) Combined Compendium of Food Additive Specifications (FAO JECFA Monographs 23, 2019), and the United States Pharmacopeial Convention (USPC 2020) Food Chemicals Codex (12th edition). These include specifications for enzyme preparations used in food processing.</w:t>
      </w:r>
    </w:p>
    <w:p w:rsidRPr="00E26D23" w:rsidR="00E26D23" w:rsidP="00E26D23" w:rsidRDefault="00E26D23" w14:paraId="30CA61D7" w14:textId="77777777">
      <w:pPr>
        <w:widowControl w:val="0"/>
        <w:spacing w:after="0" w:line="240" w:lineRule="auto"/>
        <w:rPr>
          <w:rFonts w:ascii="Arial" w:hAnsi="Arial" w:eastAsia="Times New Roman" w:cs="Times New Roman"/>
          <w:szCs w:val="24"/>
          <w:lang w:val="en-GB"/>
        </w:rPr>
      </w:pPr>
    </w:p>
    <w:p w:rsidRPr="00E26D23" w:rsidR="00E26D23" w:rsidP="00E84AA2" w:rsidRDefault="00E26D23" w14:paraId="5F184354" w14:textId="75DD86EE">
      <w:pPr>
        <w:pStyle w:val="ListParagraph"/>
        <w:numPr>
          <w:ilvl w:val="0"/>
          <w:numId w:val="13"/>
        </w:numPr>
        <w:spacing w:after="0" w:line="240" w:lineRule="auto"/>
        <w:rPr>
          <w:rFonts w:ascii="Arial" w:hAnsi="Arial" w:eastAsia="Times New Roman" w:cs="Arial"/>
          <w:b/>
          <w:lang w:val="en-GB"/>
        </w:rPr>
      </w:pPr>
      <w:r w:rsidRPr="61D1C056">
        <w:rPr>
          <w:rFonts w:ascii="Arial" w:hAnsi="Arial" w:eastAsia="Times New Roman" w:cs="Arial"/>
          <w:b/>
          <w:lang w:val="en-GB"/>
        </w:rPr>
        <w:t>the desirability of an efficient and internationally competitive food industry</w:t>
      </w:r>
    </w:p>
    <w:p w:rsidRPr="00740AD5" w:rsidR="00E26D23" w:rsidP="00E26D23" w:rsidRDefault="00E26D23" w14:paraId="40DBDFA2" w14:textId="77777777">
      <w:pPr>
        <w:widowControl w:val="0"/>
        <w:spacing w:after="0" w:line="240" w:lineRule="auto"/>
        <w:rPr>
          <w:rFonts w:ascii="Arial" w:hAnsi="Arial" w:eastAsia="Times New Roman" w:cs="Arial"/>
          <w:szCs w:val="24"/>
          <w:lang w:val="en-GB"/>
        </w:rPr>
      </w:pPr>
    </w:p>
    <w:p w:rsidRPr="007E6004" w:rsidR="007E6004" w:rsidP="007E6004" w:rsidRDefault="007E6004" w14:paraId="19CA3B37" w14:textId="77777777">
      <w:pPr>
        <w:rPr>
          <w:rFonts w:ascii="Arial" w:hAnsi="Arial" w:cs="Arial"/>
        </w:rPr>
      </w:pPr>
      <w:r w:rsidRPr="007E6004">
        <w:rPr>
          <w:rFonts w:ascii="Arial" w:hAnsi="Arial" w:cs="Arial"/>
        </w:rPr>
        <w:t>As the use of this enzyme is already permitted in France, Denmark, Canada, Mexico, Brazil and the USA, the approval for use would bring Australia and New Zealand into line with other jurisdictions where it is already authorised for use. In this way, Australia and New Zealand will remain competitive with other international markets.”</w:t>
      </w:r>
    </w:p>
    <w:p w:rsidR="007E6004" w:rsidP="007E6004" w:rsidRDefault="007E6004" w14:paraId="6D241CD1" w14:textId="04907BE7">
      <w:pPr>
        <w:rPr>
          <w:rFonts w:ascii="Arial" w:hAnsi="Arial" w:cs="Arial"/>
        </w:rPr>
      </w:pPr>
      <w:r w:rsidRPr="007E6004">
        <w:rPr>
          <w:rFonts w:ascii="Arial" w:hAnsi="Arial" w:cs="Arial"/>
        </w:rPr>
        <w:t>Which enzyme preparation a food manufacturing company uses will depend on a number of economic and other factors.</w:t>
      </w:r>
      <w:r>
        <w:rPr>
          <w:rFonts w:ascii="Arial" w:hAnsi="Arial" w:cs="Arial"/>
        </w:rPr>
        <w:t xml:space="preserve"> </w:t>
      </w:r>
      <w:r w:rsidRPr="007E6004">
        <w:rPr>
          <w:rFonts w:ascii="Arial" w:hAnsi="Arial" w:cs="Arial"/>
        </w:rPr>
        <w:t>Ultimately, the domestic food industry will make their own economic decisions, taking into account the costs and benefits of using the new enzyme, to determine if it is of benefit to their particular business.</w:t>
      </w:r>
      <w:r>
        <w:rPr>
          <w:rFonts w:ascii="Arial" w:hAnsi="Arial" w:cs="Arial"/>
        </w:rPr>
        <w:t xml:space="preserve"> </w:t>
      </w:r>
    </w:p>
    <w:p w:rsidRPr="00740AD5" w:rsidR="00740AD5" w:rsidP="007E6004" w:rsidRDefault="00740AD5" w14:paraId="524B0E8C" w14:textId="16238EA5">
      <w:pPr>
        <w:rPr>
          <w:rFonts w:ascii="Arial" w:hAnsi="Arial" w:cs="Arial"/>
        </w:rPr>
      </w:pPr>
      <w:r w:rsidRPr="00740AD5">
        <w:rPr>
          <w:rFonts w:ascii="Arial" w:hAnsi="Arial" w:cs="Arial"/>
        </w:rPr>
        <w:t>Permission to use this enzyme will help foster continued innovation and improvements in food manufacturing techniques and processes. It is appropriate that Australian and New Zealand food industries are given the opportunity to benefit from the use of this enzyme as an alternative to those currently permitted.</w:t>
      </w:r>
    </w:p>
    <w:p w:rsidRPr="00E26D23" w:rsidR="00E26D23" w:rsidP="346EAF37" w:rsidRDefault="00740AD5" w14:paraId="199546E7" w14:textId="36C3C760">
      <w:pPr>
        <w:rPr>
          <w:rFonts w:ascii="Arial" w:hAnsi="Arial" w:eastAsia="Times New Roman" w:cs="Times New Roman"/>
          <w:lang w:val="en-GB"/>
        </w:rPr>
      </w:pPr>
      <w:r w:rsidRPr="346EAF37">
        <w:rPr>
          <w:rFonts w:ascii="Arial" w:hAnsi="Arial" w:cs="Arial"/>
        </w:rPr>
        <w:t xml:space="preserve">FSANZ understands that the use of enzymes in foods is not restricted or specifically regulated in several countries. Regulation (EC) No 1332/2008 (the Regulation) harmonises the rules for food enzymes in the European Union (EU) (EC 2008). Before the Regulation, food enzymes used as processing aids were not regulated at EU level. According to the Regulation, all food enzymes currently on the EU market, as well as new food enzymes, are subject to a safety evaluation by the European Food Safety Authority (EFSA) and subsequent approval by the European Commission by means of an EU list. Currently, there is no EU list of authorised food enzymes. Until the establishment of such a list, EU Member States’ legislation applies. </w:t>
      </w:r>
    </w:p>
    <w:p w:rsidRPr="00E26D23" w:rsidR="00E26D23" w:rsidP="00E84AA2" w:rsidRDefault="00E26D23" w14:paraId="0ECDBA14" w14:textId="52B5EB77">
      <w:pPr>
        <w:pStyle w:val="ListParagraph"/>
        <w:numPr>
          <w:ilvl w:val="0"/>
          <w:numId w:val="12"/>
        </w:numPr>
        <w:spacing w:after="0" w:line="240" w:lineRule="auto"/>
        <w:rPr>
          <w:rFonts w:ascii="Arial" w:hAnsi="Arial" w:eastAsia="Times New Roman" w:cs="Arial"/>
          <w:b/>
          <w:lang w:val="en-GB"/>
        </w:rPr>
      </w:pPr>
      <w:r w:rsidRPr="61D1C056">
        <w:rPr>
          <w:rFonts w:ascii="Arial" w:hAnsi="Arial" w:eastAsia="Times New Roman" w:cs="Arial"/>
          <w:b/>
          <w:lang w:val="en-GB"/>
        </w:rPr>
        <w:lastRenderedPageBreak/>
        <w:t>the promotion of fair trading in food</w:t>
      </w:r>
    </w:p>
    <w:p w:rsidRPr="00E26D23" w:rsidR="00E26D23" w:rsidP="00E26D23" w:rsidRDefault="00E26D23" w14:paraId="0568408D" w14:textId="77777777">
      <w:pPr>
        <w:widowControl w:val="0"/>
        <w:spacing w:after="0" w:line="240" w:lineRule="auto"/>
        <w:rPr>
          <w:rFonts w:ascii="Arial" w:hAnsi="Arial" w:eastAsia="Times New Roman" w:cs="Times New Roman"/>
          <w:szCs w:val="24"/>
          <w:lang w:val="en-GB"/>
        </w:rPr>
      </w:pPr>
    </w:p>
    <w:p w:rsidRPr="00FA65D5" w:rsidR="00E26D23" w:rsidP="00E26D23" w:rsidRDefault="00FA65D5" w14:paraId="0B8105F1" w14:textId="0A04232C">
      <w:pPr>
        <w:widowControl w:val="0"/>
        <w:spacing w:after="0" w:line="240" w:lineRule="auto"/>
        <w:rPr>
          <w:rFonts w:ascii="Arial" w:hAnsi="Arial" w:eastAsia="Times New Roman" w:cs="Times New Roman"/>
          <w:szCs w:val="24"/>
          <w:lang w:val="en-GB" w:bidi="en-US"/>
        </w:rPr>
      </w:pPr>
      <w:r>
        <w:rPr>
          <w:rStyle w:val="normaltextrun"/>
          <w:rFonts w:ascii="Arial" w:hAnsi="Arial" w:cs="Arial"/>
          <w:color w:val="000000"/>
          <w:shd w:val="clear" w:color="auto" w:fill="FFFFFF"/>
        </w:rPr>
        <w:t xml:space="preserve">No issues were identified for this application relevant to this </w:t>
      </w:r>
      <w:r w:rsidRPr="00FA65D5">
        <w:rPr>
          <w:rStyle w:val="normaltextrun"/>
          <w:rFonts w:ascii="Arial" w:hAnsi="Arial" w:cs="Arial"/>
          <w:shd w:val="clear" w:color="auto" w:fill="FFFFFF"/>
        </w:rPr>
        <w:t>objective.</w:t>
      </w:r>
    </w:p>
    <w:p w:rsidRPr="00E26D23" w:rsidR="00E26D23" w:rsidP="00E26D23" w:rsidRDefault="00E26D23" w14:paraId="6FCDA22C" w14:textId="77777777">
      <w:pPr>
        <w:widowControl w:val="0"/>
        <w:spacing w:after="0" w:line="240" w:lineRule="auto"/>
        <w:rPr>
          <w:rFonts w:ascii="Arial" w:hAnsi="Arial" w:eastAsia="Times New Roman" w:cs="Times New Roman"/>
          <w:szCs w:val="24"/>
          <w:lang w:val="en-GB"/>
        </w:rPr>
      </w:pPr>
    </w:p>
    <w:p w:rsidRPr="00E26D23" w:rsidR="00E26D23" w:rsidP="00E84AA2" w:rsidRDefault="00E26D23" w14:paraId="3ED377F5" w14:textId="1F335A7B">
      <w:pPr>
        <w:pStyle w:val="ListParagraph"/>
        <w:numPr>
          <w:ilvl w:val="0"/>
          <w:numId w:val="11"/>
        </w:numPr>
        <w:spacing w:after="0" w:line="240" w:lineRule="auto"/>
        <w:rPr>
          <w:rFonts w:ascii="Arial" w:hAnsi="Arial" w:eastAsia="Times New Roman" w:cs="Arial"/>
          <w:b/>
          <w:lang w:val="en-GB"/>
        </w:rPr>
      </w:pPr>
      <w:r w:rsidRPr="61D1C056">
        <w:rPr>
          <w:rFonts w:ascii="Arial" w:hAnsi="Arial" w:eastAsia="Times New Roman" w:cs="Arial"/>
          <w:b/>
          <w:lang w:val="en-GB"/>
        </w:rPr>
        <w:t>any written policy guidelines formulated by the Food Ministers’ Meeting</w:t>
      </w:r>
    </w:p>
    <w:p w:rsidRPr="00E26D23" w:rsidR="00E26D23" w:rsidP="00E26D23" w:rsidRDefault="00E26D23" w14:paraId="51ADC327" w14:textId="77777777">
      <w:pPr>
        <w:widowControl w:val="0"/>
        <w:spacing w:after="0" w:line="240" w:lineRule="auto"/>
        <w:rPr>
          <w:rFonts w:ascii="Arial" w:hAnsi="Arial" w:eastAsia="Times New Roman" w:cs="Times New Roman"/>
          <w:szCs w:val="24"/>
          <w:lang w:val="en-GB"/>
        </w:rPr>
      </w:pPr>
    </w:p>
    <w:p w:rsidR="00FA65D5" w:rsidP="5058D6E4" w:rsidRDefault="00FA65D5" w14:paraId="268D64AD" w14:textId="07D535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Policy Guideline ‘Addition to Food of Substances other than Vitamins and Minerals’</w:t>
      </w:r>
      <w:r w:rsidR="002A62E4">
        <w:rPr>
          <w:rStyle w:val="FootnoteReference"/>
          <w:rFonts w:ascii="Arial" w:hAnsi="Arial" w:cs="Arial"/>
          <w:sz w:val="22"/>
          <w:szCs w:val="22"/>
        </w:rPr>
        <w:footnoteReference w:id="6"/>
      </w:r>
      <w:r>
        <w:rPr>
          <w:rStyle w:val="normaltextrun"/>
          <w:rFonts w:ascii="Arial" w:hAnsi="Arial" w:cs="Arial"/>
          <w:sz w:val="22"/>
          <w:szCs w:val="22"/>
        </w:rPr>
        <w:t xml:space="preserve"> includes specific order policy principles for substances added to achieve a solely technological function, such as </w:t>
      </w:r>
      <w:r w:rsidRPr="00FA65D5">
        <w:rPr>
          <w:rStyle w:val="normaltextrun"/>
          <w:rFonts w:ascii="Arial" w:hAnsi="Arial" w:cs="Arial"/>
          <w:sz w:val="22"/>
          <w:szCs w:val="22"/>
        </w:rPr>
        <w:t xml:space="preserve">processing aids. </w:t>
      </w:r>
      <w:r>
        <w:rPr>
          <w:rStyle w:val="normaltextrun"/>
          <w:rFonts w:ascii="Arial" w:hAnsi="Arial" w:cs="Arial"/>
          <w:sz w:val="22"/>
          <w:szCs w:val="22"/>
        </w:rPr>
        <w:t>These specific order policy principles state that permission should be granted where:</w:t>
      </w:r>
      <w:r>
        <w:br/>
      </w:r>
    </w:p>
    <w:p w:rsidR="00FA65D5" w:rsidP="004E93E4" w:rsidRDefault="67DE5379" w14:paraId="195C0928" w14:textId="120CEC81">
      <w:pPr>
        <w:pStyle w:val="paragraph"/>
        <w:numPr>
          <w:ilvl w:val="0"/>
          <w:numId w:val="7"/>
        </w:numPr>
        <w:spacing w:before="0" w:beforeAutospacing="0" w:after="0" w:afterAutospacing="0"/>
        <w:ind w:left="709" w:hanging="709"/>
        <w:textAlignment w:val="baseline"/>
        <w:rPr>
          <w:rFonts w:ascii="Arial" w:hAnsi="Arial" w:cs="Arial"/>
          <w:sz w:val="22"/>
          <w:szCs w:val="22"/>
        </w:rPr>
      </w:pPr>
      <w:r w:rsidRPr="004E93E4">
        <w:rPr>
          <w:rStyle w:val="normaltextrun"/>
          <w:rFonts w:ascii="Arial" w:hAnsi="Arial" w:cs="Arial"/>
          <w:sz w:val="22"/>
          <w:szCs w:val="22"/>
        </w:rPr>
        <w:t>the purpose for adding the substance can be articulated clearly by the manufacturer as achieving a solely technological function (</w:t>
      </w:r>
      <w:bookmarkStart w:name="_Int_8ByP6d4P" w:id="144"/>
      <w:r w:rsidRPr="004E93E4">
        <w:rPr>
          <w:rStyle w:val="normaltextrun"/>
          <w:rFonts w:ascii="Arial" w:hAnsi="Arial" w:cs="Arial"/>
          <w:sz w:val="22"/>
          <w:szCs w:val="22"/>
        </w:rPr>
        <w:t>i.e.</w:t>
      </w:r>
      <w:bookmarkEnd w:id="144"/>
      <w:r w:rsidRPr="004E93E4">
        <w:rPr>
          <w:rStyle w:val="normaltextrun"/>
          <w:rFonts w:ascii="Arial" w:hAnsi="Arial" w:cs="Arial"/>
          <w:sz w:val="22"/>
          <w:szCs w:val="22"/>
        </w:rPr>
        <w:t xml:space="preserve"> the ‘stated purpose’)</w:t>
      </w:r>
    </w:p>
    <w:p w:rsidR="00FA65D5" w:rsidP="00FA65D5" w:rsidRDefault="00FA65D5" w14:paraId="7AD801DE" w14:textId="0C56D2CA">
      <w:pPr>
        <w:pStyle w:val="paragraph"/>
        <w:numPr>
          <w:ilvl w:val="0"/>
          <w:numId w:val="7"/>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the addition of the substance to food is safe for human consumption</w:t>
      </w:r>
    </w:p>
    <w:p w:rsidR="00FA65D5" w:rsidP="00FA65D5" w:rsidRDefault="00FA65D5" w14:paraId="4BCCA6A5" w14:textId="39A4F918">
      <w:pPr>
        <w:pStyle w:val="paragraph"/>
        <w:numPr>
          <w:ilvl w:val="0"/>
          <w:numId w:val="7"/>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the amounts added are consistent with achieving the technological function</w:t>
      </w:r>
    </w:p>
    <w:p w:rsidR="00FA65D5" w:rsidP="00FA65D5" w:rsidRDefault="00FA65D5" w14:paraId="0521F1AB" w14:textId="77777777">
      <w:pPr>
        <w:pStyle w:val="paragraph"/>
        <w:numPr>
          <w:ilvl w:val="0"/>
          <w:numId w:val="7"/>
        </w:numPr>
        <w:spacing w:before="0" w:beforeAutospacing="0" w:after="0" w:afterAutospacing="0"/>
        <w:ind w:left="709" w:hanging="709"/>
        <w:textAlignment w:val="baseline"/>
        <w:rPr>
          <w:rFonts w:ascii="Arial" w:hAnsi="Arial" w:cs="Arial"/>
          <w:sz w:val="22"/>
          <w:szCs w:val="22"/>
        </w:rPr>
      </w:pPr>
      <w:r>
        <w:rPr>
          <w:rStyle w:val="normaltextrun"/>
          <w:rFonts w:ascii="Arial" w:hAnsi="Arial" w:cs="Arial"/>
          <w:sz w:val="22"/>
          <w:szCs w:val="22"/>
        </w:rPr>
        <w:t>the substance is added in a quantity and a form which is consistent with delivering the stated purpose</w:t>
      </w:r>
      <w:r>
        <w:rPr>
          <w:rStyle w:val="eop"/>
          <w:rFonts w:cs="Arial"/>
          <w:sz w:val="22"/>
          <w:szCs w:val="22"/>
        </w:rPr>
        <w:t> </w:t>
      </w:r>
    </w:p>
    <w:p w:rsidRPr="00FA65D5" w:rsidR="00FA65D5" w:rsidP="346EAF37" w:rsidRDefault="00FA65D5" w14:paraId="0240EBEA" w14:textId="611408B9">
      <w:pPr>
        <w:pStyle w:val="paragraph"/>
        <w:numPr>
          <w:ilvl w:val="0"/>
          <w:numId w:val="8"/>
        </w:numPr>
        <w:spacing w:before="0" w:beforeAutospacing="0" w:after="0" w:afterAutospacing="0"/>
        <w:ind w:left="0" w:firstLine="0"/>
        <w:textAlignment w:val="baseline"/>
        <w:rPr>
          <w:rStyle w:val="eop"/>
          <w:rFonts w:ascii="Arial" w:hAnsi="Arial" w:cs="Arial"/>
          <w:sz w:val="22"/>
          <w:szCs w:val="22"/>
        </w:rPr>
      </w:pPr>
      <w:r w:rsidRPr="346EAF37">
        <w:rPr>
          <w:rStyle w:val="normaltextrun"/>
          <w:rFonts w:ascii="Arial" w:hAnsi="Arial" w:cs="Arial"/>
          <w:sz w:val="22"/>
          <w:szCs w:val="22"/>
        </w:rPr>
        <w:t>no nutrition, health or related claims are to be made regarding the substance.</w:t>
      </w:r>
    </w:p>
    <w:p w:rsidR="00FA65D5" w:rsidP="00FA65D5" w:rsidRDefault="00FA65D5" w14:paraId="1D252DE9" w14:textId="77777777">
      <w:pPr>
        <w:pStyle w:val="paragraph"/>
        <w:spacing w:before="0" w:beforeAutospacing="0" w:after="0" w:afterAutospacing="0"/>
        <w:textAlignment w:val="baseline"/>
        <w:rPr>
          <w:rFonts w:ascii="Arial" w:hAnsi="Arial" w:cs="Arial"/>
          <w:sz w:val="22"/>
          <w:szCs w:val="22"/>
        </w:rPr>
      </w:pPr>
    </w:p>
    <w:p w:rsidR="00FA65D5" w:rsidP="5058D6E4" w:rsidRDefault="00FA65D5" w14:paraId="0FA72BBB" w14:textId="27E5F1F6">
      <w:pPr>
        <w:pStyle w:val="paragraph"/>
        <w:spacing w:before="0" w:beforeAutospacing="0" w:after="0" w:afterAutospacing="0"/>
        <w:textAlignment w:val="baseline"/>
        <w:rPr>
          <w:rFonts w:ascii="Segoe UI" w:hAnsi="Segoe UI" w:cs="Segoe UI"/>
          <w:sz w:val="18"/>
          <w:szCs w:val="18"/>
        </w:rPr>
      </w:pPr>
      <w:r w:rsidRPr="5058D6E4">
        <w:rPr>
          <w:rStyle w:val="normaltextrun"/>
          <w:rFonts w:ascii="Arial" w:hAnsi="Arial" w:cs="Arial"/>
          <w:sz w:val="22"/>
          <w:szCs w:val="22"/>
        </w:rPr>
        <w:t xml:space="preserve">FSANZ </w:t>
      </w:r>
      <w:r w:rsidRPr="5058D6E4" w:rsidR="00FC6B0F">
        <w:rPr>
          <w:rStyle w:val="normaltextrun"/>
          <w:rFonts w:ascii="Arial" w:hAnsi="Arial" w:cs="Arial"/>
          <w:sz w:val="22"/>
          <w:szCs w:val="22"/>
        </w:rPr>
        <w:t xml:space="preserve">has </w:t>
      </w:r>
      <w:r w:rsidRPr="5058D6E4">
        <w:rPr>
          <w:rStyle w:val="normaltextrun"/>
          <w:rFonts w:ascii="Arial" w:hAnsi="Arial" w:cs="Arial"/>
          <w:sz w:val="22"/>
          <w:szCs w:val="22"/>
        </w:rPr>
        <w:t xml:space="preserve">determined that permitting the use of </w:t>
      </w:r>
      <w:r w:rsidRPr="5058D6E4" w:rsidR="00FD6B2B">
        <w:rPr>
          <w:rStyle w:val="normaltextrun"/>
          <w:rFonts w:ascii="Arial" w:hAnsi="Arial" w:cs="Arial"/>
          <w:sz w:val="22"/>
          <w:szCs w:val="22"/>
        </w:rPr>
        <w:t>this enzyme</w:t>
      </w:r>
      <w:r w:rsidRPr="5058D6E4">
        <w:rPr>
          <w:rStyle w:val="normaltextrun"/>
          <w:rFonts w:ascii="Arial" w:hAnsi="Arial" w:cs="Arial"/>
          <w:i/>
          <w:iCs/>
          <w:sz w:val="22"/>
          <w:szCs w:val="22"/>
        </w:rPr>
        <w:t xml:space="preserve"> </w:t>
      </w:r>
      <w:r w:rsidRPr="5058D6E4">
        <w:rPr>
          <w:rStyle w:val="normaltextrun"/>
          <w:rFonts w:ascii="Arial" w:hAnsi="Arial" w:cs="Arial"/>
          <w:sz w:val="22"/>
          <w:szCs w:val="22"/>
        </w:rPr>
        <w:t xml:space="preserve">as a processing aid </w:t>
      </w:r>
      <w:r w:rsidRPr="5058D6E4" w:rsidR="002E5ECE">
        <w:rPr>
          <w:rStyle w:val="normaltextrun"/>
          <w:rFonts w:ascii="Arial" w:hAnsi="Arial" w:cs="Arial"/>
          <w:sz w:val="22"/>
          <w:szCs w:val="22"/>
        </w:rPr>
        <w:t xml:space="preserve">is </w:t>
      </w:r>
      <w:r w:rsidRPr="5058D6E4">
        <w:rPr>
          <w:rStyle w:val="normaltextrun"/>
          <w:rFonts w:ascii="Arial" w:hAnsi="Arial" w:cs="Arial"/>
          <w:sz w:val="22"/>
          <w:szCs w:val="22"/>
        </w:rPr>
        <w:t>consistent with the specific order principles for ‘Technological Function’. All other requirements of the policy guidelines were similarly met.</w:t>
      </w:r>
    </w:p>
    <w:p w:rsidRPr="00875D51" w:rsidR="00E26D23" w:rsidP="00875D51" w:rsidRDefault="00875D51" w14:paraId="6C5616B8" w14:textId="592779AF">
      <w:pPr>
        <w:pStyle w:val="Heading1"/>
        <w:keepLines w:val="0"/>
        <w:widowControl w:val="0"/>
        <w:spacing w:after="240" w:line="240" w:lineRule="auto"/>
        <w:ind w:left="851" w:hanging="851"/>
        <w:rPr>
          <w:rFonts w:ascii="Arial" w:hAnsi="Arial" w:eastAsia="Times New Roman" w:cs="Times New Roman"/>
          <w:b/>
          <w:bCs/>
          <w:color w:val="auto"/>
          <w:sz w:val="36"/>
          <w:szCs w:val="28"/>
          <w:lang w:val="en-GB"/>
        </w:rPr>
      </w:pPr>
      <w:bookmarkStart w:name="_Toc110434614" w:id="145"/>
      <w:bookmarkStart w:name="_Toc11735643" w:id="146"/>
      <w:bookmarkStart w:name="_Toc29883130" w:id="147"/>
      <w:bookmarkStart w:name="_Toc41906817" w:id="148"/>
      <w:bookmarkStart w:name="_Toc41907564" w:id="149"/>
      <w:bookmarkStart w:name="_Toc43112360" w:id="150"/>
      <w:bookmarkEnd w:id="114"/>
      <w:r>
        <w:rPr>
          <w:rFonts w:ascii="Arial" w:hAnsi="Arial" w:eastAsia="Times New Roman" w:cs="Times New Roman"/>
          <w:b/>
          <w:bCs/>
          <w:color w:val="auto"/>
          <w:sz w:val="36"/>
          <w:szCs w:val="28"/>
          <w:lang w:val="en-GB"/>
        </w:rPr>
        <w:t>3</w:t>
      </w:r>
      <w:r w:rsidRPr="00875D51" w:rsidR="00E26D23">
        <w:rPr>
          <w:rFonts w:ascii="Arial" w:hAnsi="Arial" w:eastAsia="Times New Roman" w:cs="Times New Roman"/>
          <w:b/>
          <w:bCs/>
          <w:color w:val="auto"/>
          <w:sz w:val="36"/>
          <w:szCs w:val="28"/>
          <w:lang w:val="en-GB"/>
        </w:rPr>
        <w:tab/>
      </w:r>
      <w:r w:rsidRPr="00875D51" w:rsidR="00E26D23">
        <w:rPr>
          <w:rFonts w:ascii="Arial" w:hAnsi="Arial" w:eastAsia="Times New Roman" w:cs="Times New Roman"/>
          <w:b/>
          <w:bCs/>
          <w:color w:val="auto"/>
          <w:sz w:val="36"/>
          <w:szCs w:val="28"/>
          <w:lang w:val="en-GB"/>
        </w:rPr>
        <w:t>References</w:t>
      </w:r>
      <w:bookmarkEnd w:id="145"/>
    </w:p>
    <w:p w:rsidRPr="00B72240" w:rsidR="00B72240" w:rsidP="00B72240" w:rsidRDefault="00B72240" w14:paraId="6D22170C" w14:textId="552F929A">
      <w:pPr>
        <w:rPr>
          <w:rFonts w:ascii="Arial" w:hAnsi="Arial" w:cs="Arial"/>
          <w:sz w:val="20"/>
          <w:szCs w:val="20"/>
          <w:lang w:val="en-AU" w:eastAsia="en-GB"/>
        </w:rPr>
      </w:pPr>
      <w:r w:rsidRPr="00B72240">
        <w:rPr>
          <w:rFonts w:ascii="Arial" w:hAnsi="Arial" w:cs="Arial"/>
          <w:sz w:val="20"/>
          <w:szCs w:val="20"/>
          <w:lang w:val="en"/>
        </w:rPr>
        <w:t>EC (2008)</w:t>
      </w:r>
      <w:r w:rsidRPr="00B72240">
        <w:rPr>
          <w:rFonts w:ascii="Arial" w:hAnsi="Arial" w:cs="Arial"/>
          <w:color w:val="444444"/>
          <w:sz w:val="20"/>
          <w:szCs w:val="20"/>
          <w:lang w:val="en"/>
        </w:rPr>
        <w:t xml:space="preserve"> </w:t>
      </w:r>
      <w:hyperlink w:history="1" r:id="rId18">
        <w:r w:rsidRPr="00B72240">
          <w:rPr>
            <w:rFonts w:ascii="Arial" w:hAnsi="Arial" w:cs="Arial"/>
            <w:color w:val="3333FF"/>
            <w:sz w:val="20"/>
            <w:szCs w:val="20"/>
            <w:u w:val="single"/>
          </w:rPr>
          <w:t>Regulation (EC) No 1332/2008</w:t>
        </w:r>
      </w:hyperlink>
      <w:r w:rsidRPr="00B72240">
        <w:rPr>
          <w:rFonts w:ascii="Arial" w:hAnsi="Arial" w:cs="Arial"/>
          <w:sz w:val="20"/>
          <w:szCs w:val="20"/>
        </w:rPr>
        <w:t xml:space="preserve"> </w:t>
      </w:r>
      <w:r w:rsidRPr="00B72240">
        <w:rPr>
          <w:rFonts w:ascii="Arial" w:hAnsi="Arial" w:cs="Arial"/>
          <w:sz w:val="20"/>
          <w:szCs w:val="20"/>
          <w:lang w:val="en"/>
        </w:rPr>
        <w:t xml:space="preserve">of 16 December 2008 on food enzymes. Accessed </w:t>
      </w:r>
      <w:r>
        <w:rPr>
          <w:rFonts w:ascii="Arial" w:hAnsi="Arial" w:cs="Arial"/>
          <w:sz w:val="20"/>
          <w:szCs w:val="20"/>
          <w:lang w:val="en"/>
        </w:rPr>
        <w:t>8 June 2022</w:t>
      </w:r>
    </w:p>
    <w:p w:rsidRPr="00B72240" w:rsidR="00B72240" w:rsidP="00B72240" w:rsidRDefault="00B72240" w14:paraId="247B5D38" w14:textId="2575D461">
      <w:pPr>
        <w:rPr>
          <w:rFonts w:ascii="Arial" w:hAnsi="Arial" w:cs="Arial"/>
          <w:sz w:val="20"/>
          <w:szCs w:val="20"/>
        </w:rPr>
      </w:pPr>
      <w:r w:rsidRPr="00B72240">
        <w:rPr>
          <w:rFonts w:ascii="Arial" w:hAnsi="Arial" w:cs="Arial"/>
          <w:sz w:val="20"/>
          <w:szCs w:val="20"/>
        </w:rPr>
        <w:t xml:space="preserve">FCC (2018) Enzyme preparations. In: </w:t>
      </w:r>
      <w:r w:rsidRPr="00B72240">
        <w:rPr>
          <w:rFonts w:ascii="Arial" w:hAnsi="Arial" w:cs="Arial"/>
          <w:i/>
          <w:sz w:val="20"/>
          <w:szCs w:val="20"/>
        </w:rPr>
        <w:t>Food Chemicals Codex</w:t>
      </w:r>
      <w:r w:rsidRPr="00B72240">
        <w:rPr>
          <w:rFonts w:ascii="Arial" w:hAnsi="Arial" w:cs="Arial"/>
          <w:sz w:val="20"/>
          <w:szCs w:val="20"/>
        </w:rPr>
        <w:t>, 11th edition. Rockville (MD): United States Pharmacopeial Convention</w:t>
      </w:r>
    </w:p>
    <w:p w:rsidRPr="00B72240" w:rsidR="00B72240" w:rsidP="00B72240" w:rsidRDefault="5085D8F5" w14:paraId="304E783F" w14:textId="43FF7B88">
      <w:pPr>
        <w:rPr>
          <w:rFonts w:ascii="Arial" w:hAnsi="Arial" w:cs="Arial"/>
          <w:sz w:val="20"/>
          <w:szCs w:val="20"/>
        </w:rPr>
      </w:pPr>
      <w:r w:rsidRPr="004E93E4">
        <w:rPr>
          <w:rFonts w:ascii="Arial" w:hAnsi="Arial" w:cs="Arial"/>
          <w:sz w:val="20"/>
          <w:szCs w:val="20"/>
        </w:rPr>
        <w:t xml:space="preserve">International Union Of Biochemistry </w:t>
      </w:r>
      <w:bookmarkStart w:name="_Int_QI5ckJYj" w:id="151"/>
      <w:r w:rsidRPr="004E93E4">
        <w:rPr>
          <w:rFonts w:ascii="Arial" w:hAnsi="Arial" w:cs="Arial"/>
          <w:sz w:val="20"/>
          <w:szCs w:val="20"/>
        </w:rPr>
        <w:t>And</w:t>
      </w:r>
      <w:bookmarkEnd w:id="151"/>
      <w:r w:rsidRPr="004E93E4">
        <w:rPr>
          <w:rFonts w:ascii="Arial" w:hAnsi="Arial" w:cs="Arial"/>
          <w:sz w:val="20"/>
          <w:szCs w:val="20"/>
        </w:rPr>
        <w:t xml:space="preserve"> Molecular Biology (IUBMB) 2020, </w:t>
      </w:r>
      <w:hyperlink w:anchor="2162" r:id="rId19">
        <w:r w:rsidRPr="004E93E4">
          <w:rPr>
            <w:rStyle w:val="Hyperlink"/>
            <w:rFonts w:ascii="Arial" w:hAnsi="Arial" w:cs="Arial"/>
            <w:sz w:val="20"/>
            <w:szCs w:val="20"/>
          </w:rPr>
          <w:t>https://www.qmul.ac.uk/sbcs/iubmb/enzyme/EC34/3421a.html#2162</w:t>
        </w:r>
      </w:hyperlink>
      <w:r w:rsidRPr="004E93E4">
        <w:rPr>
          <w:rFonts w:ascii="Arial" w:hAnsi="Arial" w:cs="Arial"/>
          <w:sz w:val="20"/>
          <w:szCs w:val="20"/>
        </w:rPr>
        <w:t>. Accessed 8 June 2022</w:t>
      </w:r>
    </w:p>
    <w:p w:rsidRPr="00257244" w:rsidR="00450BB7" w:rsidP="00450BB7" w:rsidRDefault="00450BB7" w14:paraId="0304D5DC" w14:textId="77777777">
      <w:pPr>
        <w:tabs>
          <w:tab w:val="left" w:pos="0"/>
        </w:tabs>
        <w:rPr>
          <w:rFonts w:ascii="Arial" w:hAnsi="Arial" w:cs="Arial"/>
          <w:noProof/>
          <w:sz w:val="20"/>
          <w:szCs w:val="20"/>
        </w:rPr>
      </w:pPr>
      <w:r w:rsidRPr="00257244">
        <w:rPr>
          <w:rFonts w:ascii="Arial" w:hAnsi="Arial" w:cs="Arial"/>
          <w:noProof/>
          <w:sz w:val="20"/>
          <w:szCs w:val="20"/>
        </w:rPr>
        <w:t>IUBMB 2022 Enzyme Nomenclature EC 3.4.21.65</w:t>
      </w:r>
      <w:r>
        <w:rPr>
          <w:rFonts w:ascii="Arial" w:hAnsi="Arial" w:cs="Arial"/>
          <w:noProof/>
          <w:sz w:val="20"/>
          <w:szCs w:val="20"/>
        </w:rPr>
        <w:t xml:space="preserve"> </w:t>
      </w:r>
      <w:hyperlink w:history="1" r:id="rId20">
        <w:r w:rsidRPr="00257244">
          <w:rPr>
            <w:rStyle w:val="Hyperlink"/>
            <w:rFonts w:ascii="Arial" w:hAnsi="Arial" w:cs="Arial"/>
            <w:sz w:val="20"/>
            <w:szCs w:val="20"/>
          </w:rPr>
          <w:t>https://iubmb.qmul.ac.uk/enzyme/EC3/4/21/65.html</w:t>
        </w:r>
      </w:hyperlink>
      <w:r w:rsidRPr="00257244">
        <w:rPr>
          <w:rFonts w:ascii="Arial" w:hAnsi="Arial" w:cs="Arial"/>
          <w:sz w:val="20"/>
          <w:szCs w:val="20"/>
        </w:rPr>
        <w:t xml:space="preserve"> </w:t>
      </w:r>
      <w:r w:rsidRPr="00257244">
        <w:rPr>
          <w:rFonts w:ascii="Arial" w:hAnsi="Arial" w:cs="Arial"/>
          <w:noProof/>
          <w:sz w:val="20"/>
          <w:szCs w:val="20"/>
        </w:rPr>
        <w:t xml:space="preserve"> Accessed </w:t>
      </w:r>
      <w:r>
        <w:rPr>
          <w:rFonts w:ascii="Arial" w:hAnsi="Arial" w:cs="Arial"/>
          <w:noProof/>
          <w:sz w:val="20"/>
          <w:szCs w:val="20"/>
        </w:rPr>
        <w:t>8 June 2022</w:t>
      </w:r>
      <w:r w:rsidRPr="00257244">
        <w:rPr>
          <w:rFonts w:ascii="Arial" w:hAnsi="Arial" w:cs="Arial"/>
          <w:noProof/>
          <w:sz w:val="20"/>
          <w:szCs w:val="20"/>
        </w:rPr>
        <w:t xml:space="preserve"> </w:t>
      </w:r>
    </w:p>
    <w:p w:rsidRPr="00257244" w:rsidR="00B72240" w:rsidP="00B72240" w:rsidRDefault="00B72240" w14:paraId="4D67C6C7" w14:textId="4EE977B1">
      <w:pPr>
        <w:autoSpaceDE w:val="0"/>
        <w:autoSpaceDN w:val="0"/>
        <w:adjustRightInd w:val="0"/>
        <w:rPr>
          <w:rFonts w:ascii="Arial" w:hAnsi="Arial" w:cs="Arial"/>
          <w:sz w:val="20"/>
          <w:szCs w:val="20"/>
          <w:lang w:eastAsia="en-GB"/>
        </w:rPr>
      </w:pPr>
      <w:r w:rsidRPr="00257244">
        <w:rPr>
          <w:rFonts w:ascii="Arial" w:hAnsi="Arial" w:cs="Arial"/>
          <w:sz w:val="20"/>
          <w:szCs w:val="20"/>
          <w:lang w:val="en-AU" w:eastAsia="en-GB"/>
        </w:rPr>
        <w:t xml:space="preserve">JECFA (2006) General Specifications and Considerations for Enzyme Preparations. In: </w:t>
      </w:r>
      <w:r w:rsidRPr="00257244">
        <w:rPr>
          <w:rFonts w:ascii="Arial" w:hAnsi="Arial" w:cs="Arial"/>
          <w:i/>
          <w:sz w:val="20"/>
          <w:szCs w:val="20"/>
          <w:lang w:val="en-AU" w:eastAsia="en-GB"/>
        </w:rPr>
        <w:t>Combined Compendium of Food Additive Specifications [Online Edition].</w:t>
      </w:r>
      <w:r w:rsidRPr="00257244">
        <w:rPr>
          <w:rFonts w:ascii="Arial" w:hAnsi="Arial" w:cs="Arial"/>
          <w:sz w:val="20"/>
          <w:szCs w:val="20"/>
          <w:lang w:val="en-AU" w:eastAsia="en-GB"/>
        </w:rPr>
        <w:t xml:space="preserve"> World Health Organization, Geneva, Switz. Available at: </w:t>
      </w:r>
      <w:hyperlink w:history="1" r:id="rId21">
        <w:r w:rsidRPr="00257244">
          <w:rPr>
            <w:rFonts w:ascii="Arial" w:hAnsi="Arial" w:cs="Arial"/>
            <w:color w:val="3333FF"/>
            <w:sz w:val="20"/>
            <w:szCs w:val="20"/>
            <w:u w:val="single"/>
            <w:lang w:eastAsia="en-GB"/>
          </w:rPr>
          <w:t>http://www.fao.org/food/food-safety-quality/scientific-advice/jecfa/jecfa-additives/en/</w:t>
        </w:r>
      </w:hyperlink>
      <w:r w:rsidRPr="00257244">
        <w:rPr>
          <w:rFonts w:ascii="Arial" w:hAnsi="Arial" w:cs="Arial"/>
          <w:sz w:val="20"/>
          <w:szCs w:val="20"/>
          <w:lang w:eastAsia="en-GB"/>
        </w:rPr>
        <w:t>. Accessed 8 June 2022</w:t>
      </w:r>
    </w:p>
    <w:p w:rsidR="00257244" w:rsidP="00257244" w:rsidRDefault="00257244" w14:paraId="393CF7AC" w14:textId="77777777">
      <w:pPr>
        <w:rPr>
          <w:rFonts w:ascii="Arial" w:hAnsi="Arial" w:cs="Arial"/>
          <w:sz w:val="20"/>
          <w:szCs w:val="20"/>
        </w:rPr>
      </w:pPr>
      <w:r w:rsidRPr="00257244">
        <w:rPr>
          <w:rFonts w:ascii="Arial" w:hAnsi="Arial" w:cs="Arial"/>
          <w:sz w:val="20"/>
          <w:szCs w:val="20"/>
        </w:rPr>
        <w:t xml:space="preserve">The United States Pharmacopeia (2020) Food Chemicals Codex 12th Edition, United States Pharmacopeial Convention, Rockville, MD </w:t>
      </w:r>
    </w:p>
    <w:p w:rsidRPr="00E26D23" w:rsidR="00E26D23" w:rsidP="00257244" w:rsidRDefault="00E26D23" w14:paraId="026599DF" w14:textId="64BCC776">
      <w:pPr>
        <w:rPr>
          <w:rFonts w:ascii="Arial" w:hAnsi="Arial" w:eastAsia="Times New Roman" w:cs="Times New Roman"/>
          <w:b/>
          <w:sz w:val="28"/>
          <w:szCs w:val="28"/>
          <w:lang w:val="en-GB" w:bidi="en-US"/>
        </w:rPr>
      </w:pPr>
      <w:r w:rsidRPr="00E26D23">
        <w:rPr>
          <w:rFonts w:ascii="Arial" w:hAnsi="Arial" w:eastAsia="Times New Roman" w:cs="Times New Roman"/>
          <w:b/>
          <w:sz w:val="28"/>
          <w:szCs w:val="28"/>
          <w:lang w:val="en-GB" w:bidi="en-US"/>
        </w:rPr>
        <w:t>A</w:t>
      </w:r>
      <w:bookmarkEnd w:id="146"/>
      <w:bookmarkEnd w:id="147"/>
      <w:bookmarkEnd w:id="148"/>
      <w:bookmarkEnd w:id="149"/>
      <w:bookmarkEnd w:id="150"/>
      <w:r w:rsidRPr="00E26D23">
        <w:rPr>
          <w:rFonts w:ascii="Arial" w:hAnsi="Arial" w:eastAsia="Times New Roman" w:cs="Times New Roman"/>
          <w:b/>
          <w:sz w:val="28"/>
          <w:szCs w:val="28"/>
          <w:lang w:val="en-GB" w:bidi="en-US"/>
        </w:rPr>
        <w:t>ttachments</w:t>
      </w:r>
    </w:p>
    <w:p w:rsidRPr="00E26D23" w:rsidR="00E26D23" w:rsidP="00E26D23" w:rsidRDefault="00E26D23" w14:paraId="0ECCB883" w14:textId="77777777">
      <w:pPr>
        <w:widowControl w:val="0"/>
        <w:spacing w:after="0" w:line="240" w:lineRule="auto"/>
        <w:rPr>
          <w:rFonts w:ascii="Arial" w:hAnsi="Arial" w:eastAsia="Times New Roman" w:cs="Times New Roman"/>
          <w:szCs w:val="24"/>
          <w:lang w:val="en-GB" w:bidi="en-US"/>
        </w:rPr>
      </w:pPr>
    </w:p>
    <w:p w:rsidRPr="00E26D23" w:rsidR="00E26D23" w:rsidP="00E26D23" w:rsidRDefault="00E26D23" w14:paraId="5ECF2B6B" w14:textId="5E80FE24">
      <w:pPr>
        <w:widowControl w:val="0"/>
        <w:spacing w:after="0" w:line="240" w:lineRule="auto"/>
        <w:ind w:left="567" w:hanging="567"/>
        <w:rPr>
          <w:rFonts w:ascii="Arial" w:hAnsi="Arial" w:eastAsia="Times New Roman" w:cs="Times New Roman"/>
          <w:szCs w:val="24"/>
          <w:lang w:val="en-GB" w:bidi="en-US"/>
        </w:rPr>
      </w:pPr>
      <w:r w:rsidRPr="00E26D23">
        <w:rPr>
          <w:rFonts w:ascii="Arial" w:hAnsi="Arial" w:eastAsia="Times New Roman" w:cs="Times New Roman"/>
          <w:szCs w:val="24"/>
          <w:lang w:val="en-GB" w:bidi="en-US"/>
        </w:rPr>
        <w:t>A.</w:t>
      </w:r>
      <w:r w:rsidRPr="00E26D23">
        <w:rPr>
          <w:rFonts w:ascii="Arial" w:hAnsi="Arial" w:eastAsia="Times New Roman" w:cs="Times New Roman"/>
          <w:szCs w:val="24"/>
          <w:lang w:val="en-GB" w:bidi="en-US"/>
        </w:rPr>
        <w:tab/>
      </w:r>
      <w:r w:rsidRPr="00E26D23">
        <w:rPr>
          <w:rFonts w:ascii="Arial" w:hAnsi="Arial" w:eastAsia="Times New Roman" w:cs="Times New Roman"/>
          <w:szCs w:val="24"/>
          <w:lang w:val="en-GB" w:bidi="en-US"/>
        </w:rPr>
        <w:t xml:space="preserve">Approved draft variation to the </w:t>
      </w:r>
      <w:r w:rsidRPr="00E26D23">
        <w:rPr>
          <w:rFonts w:ascii="Arial" w:hAnsi="Arial" w:eastAsia="Times New Roman" w:cs="Times New Roman"/>
          <w:i/>
          <w:szCs w:val="24"/>
          <w:lang w:val="en-GB" w:bidi="en-US"/>
        </w:rPr>
        <w:t xml:space="preserve">Australia New Zealand Food Standards Code </w:t>
      </w:r>
    </w:p>
    <w:p w:rsidRPr="00E26D23" w:rsidR="00E26D23" w:rsidP="00E26D23" w:rsidRDefault="00E26D23" w14:paraId="4CC190B2" w14:textId="77777777">
      <w:pPr>
        <w:widowControl w:val="0"/>
        <w:spacing w:after="0" w:line="240" w:lineRule="auto"/>
        <w:ind w:left="567" w:hanging="567"/>
        <w:rPr>
          <w:rFonts w:ascii="Arial" w:hAnsi="Arial" w:eastAsia="Times New Roman" w:cs="Times New Roman"/>
          <w:szCs w:val="24"/>
          <w:lang w:val="en-GB" w:bidi="en-US"/>
        </w:rPr>
      </w:pPr>
      <w:r w:rsidRPr="00E26D23">
        <w:rPr>
          <w:rFonts w:ascii="Arial" w:hAnsi="Arial" w:eastAsia="Times New Roman" w:cs="Times New Roman"/>
          <w:szCs w:val="24"/>
          <w:lang w:val="en-GB" w:bidi="en-US"/>
        </w:rPr>
        <w:t>B.</w:t>
      </w:r>
      <w:r w:rsidRPr="00E26D23">
        <w:rPr>
          <w:rFonts w:ascii="Arial" w:hAnsi="Arial" w:eastAsia="Times New Roman" w:cs="Times New Roman"/>
          <w:szCs w:val="24"/>
          <w:lang w:val="en-GB" w:bidi="en-US"/>
        </w:rPr>
        <w:tab/>
      </w:r>
      <w:r w:rsidRPr="00E26D23">
        <w:rPr>
          <w:rFonts w:ascii="Arial" w:hAnsi="Arial" w:eastAsia="Times New Roman" w:cs="Times New Roman"/>
          <w:szCs w:val="24"/>
          <w:lang w:val="en-GB" w:bidi="en-US"/>
        </w:rPr>
        <w:t xml:space="preserve">Explanatory Statement </w:t>
      </w:r>
    </w:p>
    <w:p w:rsidRPr="00E26D23" w:rsidR="00E26D23" w:rsidP="00E26D23" w:rsidRDefault="00E26D23" w14:paraId="07EB9CB6" w14:textId="1CD2D9CF">
      <w:pPr>
        <w:keepNext/>
        <w:widowControl w:val="0"/>
        <w:spacing w:before="240" w:after="240" w:line="240" w:lineRule="auto"/>
        <w:outlineLvl w:val="1"/>
        <w:rPr>
          <w:rFonts w:ascii="Arial" w:hAnsi="Arial" w:eastAsia="Times New Roman" w:cs="Arial"/>
          <w:b/>
          <w:bCs/>
          <w:sz w:val="28"/>
          <w:lang w:val="en-GB"/>
        </w:rPr>
      </w:pPr>
      <w:r w:rsidRPr="00E26D23">
        <w:rPr>
          <w:rFonts w:ascii="Arial" w:hAnsi="Arial" w:eastAsia="Times New Roman" w:cs="Arial"/>
          <w:b/>
          <w:bCs/>
          <w:sz w:val="28"/>
          <w:lang w:val="en-GB"/>
        </w:rPr>
        <w:br w:type="page"/>
      </w:r>
      <w:bookmarkStart w:name="_Toc29883131" w:id="152"/>
      <w:bookmarkStart w:name="_Toc41906818" w:id="153"/>
      <w:bookmarkStart w:name="_Toc41907565" w:id="154"/>
      <w:bookmarkStart w:name="_Toc120358596" w:id="155"/>
      <w:bookmarkStart w:name="_Toc175381458" w:id="156"/>
      <w:bookmarkStart w:name="_Toc11735644" w:id="157"/>
      <w:r w:rsidRPr="00E26D23">
        <w:rPr>
          <w:rFonts w:ascii="Arial" w:hAnsi="Arial" w:eastAsia="Times New Roman" w:cs="Arial"/>
          <w:b/>
          <w:bCs/>
          <w:sz w:val="28"/>
          <w:lang w:val="en-GB"/>
        </w:rPr>
        <w:lastRenderedPageBreak/>
        <w:t xml:space="preserve">Attachment </w:t>
      </w:r>
      <w:bookmarkEnd w:id="152"/>
      <w:bookmarkEnd w:id="153"/>
      <w:bookmarkEnd w:id="154"/>
      <w:bookmarkEnd w:id="155"/>
      <w:bookmarkEnd w:id="156"/>
      <w:r w:rsidRPr="00E26D23">
        <w:rPr>
          <w:rFonts w:ascii="Arial" w:hAnsi="Arial" w:eastAsia="Times New Roman" w:cs="Arial"/>
          <w:b/>
          <w:bCs/>
          <w:sz w:val="28"/>
          <w:lang w:val="en-GB"/>
        </w:rPr>
        <w:t>A</w:t>
      </w:r>
      <w:bookmarkStart w:name="_Toc120358597" w:id="158"/>
      <w:bookmarkStart w:name="_Toc175381459" w:id="159"/>
      <w:bookmarkEnd w:id="157"/>
      <w:r w:rsidRPr="00E26D23">
        <w:rPr>
          <w:rFonts w:ascii="Arial" w:hAnsi="Arial" w:eastAsia="Times New Roman" w:cs="Arial"/>
          <w:b/>
          <w:bCs/>
          <w:sz w:val="28"/>
          <w:lang w:val="en-GB"/>
        </w:rPr>
        <w:t xml:space="preserve"> –</w:t>
      </w:r>
      <w:bookmarkStart w:name="_Toc120358598" w:id="160"/>
      <w:bookmarkStart w:name="_Toc175381460" w:id="161"/>
      <w:bookmarkEnd w:id="158"/>
      <w:bookmarkEnd w:id="159"/>
      <w:r w:rsidRPr="00E26D23">
        <w:rPr>
          <w:rFonts w:ascii="Arial" w:hAnsi="Arial" w:eastAsia="Times New Roman" w:cs="Arial"/>
          <w:b/>
          <w:bCs/>
          <w:sz w:val="28"/>
          <w:lang w:val="en-GB"/>
        </w:rPr>
        <w:t xml:space="preserve"> Approved draft variation to the </w:t>
      </w:r>
      <w:r w:rsidRPr="00AB7A67">
        <w:rPr>
          <w:rFonts w:ascii="Arial" w:hAnsi="Arial" w:eastAsia="Times New Roman" w:cs="Arial"/>
          <w:b/>
          <w:bCs/>
          <w:sz w:val="28"/>
          <w:lang w:val="en-GB"/>
        </w:rPr>
        <w:t>Australia New Zealand Food Standards Code</w:t>
      </w:r>
      <w:r w:rsidRPr="00E26D23">
        <w:rPr>
          <w:rFonts w:ascii="Arial" w:hAnsi="Arial" w:eastAsia="Times New Roman" w:cs="Arial"/>
          <w:b/>
          <w:bCs/>
          <w:i/>
          <w:sz w:val="28"/>
          <w:lang w:val="en-GB"/>
        </w:rPr>
        <w:t xml:space="preserve"> </w:t>
      </w:r>
    </w:p>
    <w:p w:rsidRPr="00795D86" w:rsidR="00FA65D5" w:rsidP="00FA65D5" w:rsidRDefault="00FA65D5" w14:paraId="50DAAD8B" w14:textId="1CD2D9CF"/>
    <w:p w:rsidRPr="00C0014E" w:rsidR="00FA65D5" w:rsidP="00FA65D5" w:rsidRDefault="00FA65D5" w14:paraId="704080D0" w14:textId="77777777">
      <w:pPr>
        <w:rPr>
          <w:noProof/>
          <w:sz w:val="20"/>
          <w:lang w:val="en-AU" w:eastAsia="en-AU"/>
        </w:rPr>
      </w:pPr>
      <w:r w:rsidRPr="00C0014E">
        <w:rPr>
          <w:noProof/>
          <w:color w:val="2B579A"/>
          <w:sz w:val="20"/>
          <w:shd w:val="clear" w:color="auto" w:fill="E6E6E6"/>
          <w:lang w:val="en-GB" w:eastAsia="en-GB"/>
        </w:rPr>
        <w:drawing>
          <wp:inline distT="0" distB="0" distL="0" distR="0" wp14:anchorId="3628C5C1" wp14:editId="553747B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Pr="00FA65D5" w:rsidR="00FA65D5" w:rsidP="00FA65D5" w:rsidRDefault="005D01A3" w14:paraId="6620AE95" w14:textId="0742DF20">
      <w:pPr>
        <w:pBdr>
          <w:bottom w:val="single" w:color="auto" w:sz="4" w:space="1"/>
        </w:pBdr>
        <w:rPr>
          <w:rFonts w:ascii="Arial" w:hAnsi="Arial" w:cs="Arial"/>
          <w:b/>
          <w:sz w:val="20"/>
          <w:szCs w:val="20"/>
        </w:rPr>
      </w:pPr>
      <w:r>
        <w:rPr>
          <w:rFonts w:ascii="Arial" w:hAnsi="Arial" w:cs="Arial"/>
          <w:b/>
          <w:sz w:val="20"/>
          <w:szCs w:val="20"/>
        </w:rPr>
        <w:br/>
      </w:r>
      <w:r w:rsidRPr="00FA65D5" w:rsidR="00FA65D5">
        <w:rPr>
          <w:rFonts w:ascii="Arial" w:hAnsi="Arial" w:cs="Arial"/>
          <w:b/>
          <w:sz w:val="20"/>
          <w:szCs w:val="20"/>
        </w:rPr>
        <w:t xml:space="preserve">Food Standards (Application A1238 – Serine endopeptidase enzyme from GM </w:t>
      </w:r>
      <w:r w:rsidRPr="00FA65D5" w:rsidR="00FA65D5">
        <w:rPr>
          <w:rFonts w:ascii="Arial" w:hAnsi="Arial" w:cs="Arial"/>
          <w:b/>
          <w:i/>
          <w:sz w:val="20"/>
          <w:szCs w:val="20"/>
        </w:rPr>
        <w:t>Trichoderma reesei</w:t>
      </w:r>
      <w:r w:rsidRPr="00FA65D5" w:rsidR="00FA65D5">
        <w:rPr>
          <w:rFonts w:ascii="Arial" w:hAnsi="Arial" w:cs="Arial"/>
          <w:b/>
          <w:sz w:val="20"/>
          <w:szCs w:val="20"/>
        </w:rPr>
        <w:t>) Variation</w:t>
      </w:r>
      <w:r>
        <w:rPr>
          <w:rFonts w:ascii="Arial" w:hAnsi="Arial" w:cs="Arial"/>
          <w:b/>
          <w:sz w:val="20"/>
          <w:szCs w:val="20"/>
        </w:rPr>
        <w:br/>
      </w:r>
    </w:p>
    <w:p w:rsidRPr="00FA65D5" w:rsidR="00FA65D5" w:rsidP="003F64EC" w:rsidRDefault="00FA65D5" w14:paraId="55C264DB" w14:textId="66E696B2">
      <w:pPr>
        <w:spacing w:after="0"/>
        <w:rPr>
          <w:rFonts w:ascii="Arial" w:hAnsi="Arial" w:cs="Arial"/>
          <w:sz w:val="20"/>
          <w:szCs w:val="20"/>
        </w:rPr>
      </w:pPr>
      <w:r w:rsidRPr="00FA65D5">
        <w:rPr>
          <w:rFonts w:ascii="Arial" w:hAnsi="Arial" w:cs="Arial"/>
          <w:sz w:val="20"/>
          <w:szCs w:val="20"/>
        </w:rPr>
        <w:t xml:space="preserve">The Board of Food Standards Australia New Zealand gives notice of the making of this variation under section 92 of the </w:t>
      </w:r>
      <w:r w:rsidRPr="00FA65D5">
        <w:rPr>
          <w:rFonts w:ascii="Arial" w:hAnsi="Arial" w:cs="Arial"/>
          <w:i/>
          <w:sz w:val="20"/>
          <w:szCs w:val="20"/>
        </w:rPr>
        <w:t>Food Standards Australia New Zealand Act 1991</w:t>
      </w:r>
      <w:r w:rsidRPr="00FA65D5">
        <w:rPr>
          <w:rFonts w:ascii="Arial" w:hAnsi="Arial" w:cs="Arial"/>
          <w:sz w:val="20"/>
          <w:szCs w:val="20"/>
        </w:rPr>
        <w:t>.  The variation commences on the date specified in clause 3 of this variation.</w:t>
      </w:r>
    </w:p>
    <w:p w:rsidRPr="00FA65D5" w:rsidR="00FA65D5" w:rsidP="003F64EC" w:rsidRDefault="00FA65D5" w14:paraId="1DA3F9C8" w14:textId="77777777">
      <w:pPr>
        <w:spacing w:after="0"/>
        <w:rPr>
          <w:rFonts w:ascii="Arial" w:hAnsi="Arial" w:cs="Arial"/>
          <w:sz w:val="20"/>
          <w:szCs w:val="20"/>
        </w:rPr>
      </w:pPr>
    </w:p>
    <w:p w:rsidRPr="00FA65D5" w:rsidR="00FA65D5" w:rsidP="003F64EC" w:rsidRDefault="00FA65D5" w14:paraId="36B2276D" w14:textId="77777777">
      <w:pPr>
        <w:spacing w:after="0"/>
        <w:rPr>
          <w:rFonts w:ascii="Arial" w:hAnsi="Arial" w:cs="Arial"/>
          <w:sz w:val="20"/>
          <w:szCs w:val="20"/>
        </w:rPr>
      </w:pPr>
      <w:r w:rsidRPr="00FA65D5">
        <w:rPr>
          <w:rFonts w:ascii="Arial" w:hAnsi="Arial" w:cs="Arial"/>
          <w:sz w:val="20"/>
          <w:szCs w:val="20"/>
        </w:rPr>
        <w:t>Dated [</w:t>
      </w:r>
      <w:r w:rsidRPr="00FA65D5">
        <w:rPr>
          <w:rFonts w:ascii="Arial" w:hAnsi="Arial" w:cs="Arial"/>
          <w:color w:val="FF0000"/>
          <w:sz w:val="20"/>
          <w:szCs w:val="20"/>
        </w:rPr>
        <w:t>To be completed by the Delegate</w:t>
      </w:r>
      <w:r w:rsidRPr="00FA65D5">
        <w:rPr>
          <w:rFonts w:ascii="Arial" w:hAnsi="Arial" w:cs="Arial"/>
          <w:sz w:val="20"/>
          <w:szCs w:val="20"/>
        </w:rPr>
        <w:t>]</w:t>
      </w:r>
    </w:p>
    <w:p w:rsidRPr="00FA65D5" w:rsidR="00FA65D5" w:rsidP="003F64EC" w:rsidRDefault="00FA65D5" w14:paraId="6B9F5C28" w14:textId="77777777">
      <w:pPr>
        <w:spacing w:after="0"/>
        <w:rPr>
          <w:rFonts w:ascii="Arial" w:hAnsi="Arial" w:cs="Arial"/>
          <w:sz w:val="20"/>
          <w:szCs w:val="20"/>
        </w:rPr>
      </w:pPr>
    </w:p>
    <w:p w:rsidRPr="00FA65D5" w:rsidR="00FA65D5" w:rsidP="003F64EC" w:rsidRDefault="00FA65D5" w14:paraId="5B9F6962" w14:textId="77777777">
      <w:pPr>
        <w:spacing w:after="0"/>
        <w:rPr>
          <w:rFonts w:ascii="Arial" w:hAnsi="Arial" w:cs="Arial"/>
          <w:sz w:val="20"/>
          <w:szCs w:val="20"/>
        </w:rPr>
      </w:pPr>
    </w:p>
    <w:p w:rsidRPr="00FA65D5" w:rsidR="00FA65D5" w:rsidP="003F64EC" w:rsidRDefault="00FA65D5" w14:paraId="0D9AC260" w14:textId="77777777">
      <w:pPr>
        <w:spacing w:after="0"/>
        <w:rPr>
          <w:rFonts w:ascii="Arial" w:hAnsi="Arial" w:cs="Arial"/>
          <w:sz w:val="20"/>
          <w:szCs w:val="20"/>
        </w:rPr>
      </w:pPr>
    </w:p>
    <w:p w:rsidRPr="00FA65D5" w:rsidR="00FA65D5" w:rsidP="003F64EC" w:rsidRDefault="00FA65D5" w14:paraId="051F9453" w14:textId="77777777">
      <w:pPr>
        <w:spacing w:after="0"/>
        <w:rPr>
          <w:rFonts w:ascii="Arial" w:hAnsi="Arial" w:cs="Arial"/>
          <w:sz w:val="20"/>
          <w:szCs w:val="20"/>
        </w:rPr>
      </w:pPr>
    </w:p>
    <w:p w:rsidRPr="00FA65D5" w:rsidR="00FA65D5" w:rsidP="003F64EC" w:rsidRDefault="00FA65D5" w14:paraId="2789F784" w14:textId="77777777">
      <w:pPr>
        <w:spacing w:after="0"/>
        <w:rPr>
          <w:rFonts w:ascii="Arial" w:hAnsi="Arial" w:cs="Arial"/>
          <w:sz w:val="20"/>
          <w:szCs w:val="20"/>
        </w:rPr>
      </w:pPr>
    </w:p>
    <w:p w:rsidRPr="00FA65D5" w:rsidR="00FA65D5" w:rsidP="003F64EC" w:rsidRDefault="00FA65D5" w14:paraId="72E941BE" w14:textId="77777777">
      <w:pPr>
        <w:spacing w:after="0"/>
        <w:rPr>
          <w:rFonts w:ascii="Arial" w:hAnsi="Arial" w:cs="Arial"/>
          <w:sz w:val="20"/>
          <w:szCs w:val="20"/>
        </w:rPr>
      </w:pPr>
      <w:r w:rsidRPr="00FA65D5">
        <w:rPr>
          <w:rFonts w:ascii="Arial" w:hAnsi="Arial" w:cs="Arial"/>
          <w:sz w:val="20"/>
          <w:szCs w:val="20"/>
        </w:rPr>
        <w:t>[</w:t>
      </w:r>
      <w:r w:rsidRPr="00FA65D5">
        <w:rPr>
          <w:rFonts w:ascii="Arial" w:hAnsi="Arial" w:cs="Arial"/>
          <w:color w:val="FF0000"/>
          <w:sz w:val="20"/>
          <w:szCs w:val="20"/>
        </w:rPr>
        <w:t>Delegate’s name and position</w:t>
      </w:r>
      <w:r w:rsidRPr="00FA65D5">
        <w:rPr>
          <w:rFonts w:ascii="Arial" w:hAnsi="Arial" w:cs="Arial"/>
          <w:sz w:val="20"/>
          <w:szCs w:val="20"/>
        </w:rPr>
        <w:t>]</w:t>
      </w:r>
    </w:p>
    <w:p w:rsidRPr="00FA65D5" w:rsidR="00FA65D5" w:rsidP="003F64EC" w:rsidRDefault="00FA65D5" w14:paraId="798BF81A" w14:textId="77777777">
      <w:pPr>
        <w:spacing w:after="0"/>
        <w:rPr>
          <w:rFonts w:ascii="Arial" w:hAnsi="Arial" w:cs="Arial"/>
          <w:sz w:val="20"/>
          <w:szCs w:val="20"/>
        </w:rPr>
      </w:pPr>
      <w:r w:rsidRPr="00FA65D5">
        <w:rPr>
          <w:rFonts w:ascii="Arial" w:hAnsi="Arial" w:cs="Arial"/>
          <w:sz w:val="20"/>
          <w:szCs w:val="20"/>
        </w:rPr>
        <w:t>Delegate of the Board of Food Standards Australia New Zealand</w:t>
      </w:r>
    </w:p>
    <w:p w:rsidRPr="00FA65D5" w:rsidR="00FA65D5" w:rsidP="003F64EC" w:rsidRDefault="00FA65D5" w14:paraId="09B9F4CF" w14:textId="77777777">
      <w:pPr>
        <w:spacing w:after="0"/>
        <w:rPr>
          <w:rFonts w:ascii="Arial" w:hAnsi="Arial" w:cs="Arial"/>
          <w:sz w:val="20"/>
          <w:szCs w:val="20"/>
        </w:rPr>
      </w:pPr>
    </w:p>
    <w:p w:rsidRPr="00FA65D5" w:rsidR="00FA65D5" w:rsidP="003F64EC" w:rsidRDefault="00FA65D5" w14:paraId="3DF16A50" w14:textId="77777777">
      <w:pPr>
        <w:spacing w:after="0"/>
        <w:rPr>
          <w:rFonts w:ascii="Arial" w:hAnsi="Arial" w:cs="Arial"/>
          <w:sz w:val="20"/>
          <w:szCs w:val="20"/>
        </w:rPr>
      </w:pPr>
    </w:p>
    <w:p w:rsidRPr="00FA65D5" w:rsidR="00FA65D5" w:rsidP="003F64EC" w:rsidRDefault="00FA65D5" w14:paraId="718852FB" w14:textId="77777777">
      <w:pPr>
        <w:spacing w:after="0"/>
        <w:rPr>
          <w:rFonts w:ascii="Arial" w:hAnsi="Arial" w:cs="Arial"/>
          <w:sz w:val="20"/>
          <w:szCs w:val="20"/>
        </w:rPr>
      </w:pPr>
    </w:p>
    <w:p w:rsidRPr="00FA65D5" w:rsidR="00FA65D5" w:rsidP="003F64EC" w:rsidRDefault="00FA65D5" w14:paraId="15E451CF" w14:textId="77777777">
      <w:pPr>
        <w:spacing w:after="0"/>
        <w:rPr>
          <w:rFonts w:ascii="Arial" w:hAnsi="Arial" w:cs="Arial"/>
          <w:sz w:val="20"/>
          <w:szCs w:val="20"/>
        </w:rPr>
      </w:pPr>
    </w:p>
    <w:p w:rsidRPr="00FA65D5" w:rsidR="00FA65D5" w:rsidP="003F64EC" w:rsidRDefault="00FA65D5" w14:paraId="732337F4" w14:textId="77777777">
      <w:pPr>
        <w:spacing w:after="0"/>
        <w:rPr>
          <w:rFonts w:ascii="Arial" w:hAnsi="Arial" w:cs="Arial"/>
          <w:sz w:val="20"/>
          <w:szCs w:val="20"/>
        </w:rPr>
      </w:pPr>
    </w:p>
    <w:p w:rsidRPr="00FA65D5" w:rsidR="00FA65D5" w:rsidP="003F64EC" w:rsidRDefault="00FA65D5" w14:paraId="29268FF7" w14:textId="77777777">
      <w:pPr>
        <w:pBdr>
          <w:top w:val="single" w:color="auto" w:sz="4" w:space="1"/>
          <w:left w:val="single" w:color="auto" w:sz="4" w:space="4"/>
          <w:bottom w:val="single" w:color="auto" w:sz="4" w:space="1"/>
          <w:right w:val="single" w:color="auto" w:sz="4" w:space="4"/>
        </w:pBdr>
        <w:spacing w:after="0"/>
        <w:rPr>
          <w:rFonts w:ascii="Arial" w:hAnsi="Arial" w:cs="Arial"/>
          <w:b/>
          <w:sz w:val="20"/>
          <w:szCs w:val="20"/>
          <w:lang w:val="en-AU"/>
        </w:rPr>
      </w:pPr>
      <w:r w:rsidRPr="00FA65D5">
        <w:rPr>
          <w:rFonts w:ascii="Arial" w:hAnsi="Arial" w:cs="Arial"/>
          <w:b/>
          <w:sz w:val="20"/>
          <w:szCs w:val="20"/>
          <w:lang w:val="en-AU"/>
        </w:rPr>
        <w:t xml:space="preserve">Note:  </w:t>
      </w:r>
    </w:p>
    <w:p w:rsidRPr="00FA65D5" w:rsidR="00FA65D5" w:rsidP="003F64EC" w:rsidRDefault="00FA65D5" w14:paraId="476DC82D" w14:textId="77777777">
      <w:pPr>
        <w:pBdr>
          <w:top w:val="single" w:color="auto" w:sz="4" w:space="1"/>
          <w:left w:val="single" w:color="auto" w:sz="4" w:space="4"/>
          <w:bottom w:val="single" w:color="auto" w:sz="4" w:space="1"/>
          <w:right w:val="single" w:color="auto" w:sz="4" w:space="4"/>
        </w:pBdr>
        <w:spacing w:after="0"/>
        <w:rPr>
          <w:rFonts w:ascii="Arial" w:hAnsi="Arial" w:cs="Arial"/>
          <w:sz w:val="20"/>
          <w:szCs w:val="20"/>
          <w:lang w:val="en-AU"/>
        </w:rPr>
      </w:pPr>
    </w:p>
    <w:p w:rsidRPr="00FA65D5" w:rsidR="00FA65D5" w:rsidP="003F64EC" w:rsidRDefault="00FA65D5" w14:paraId="59A55132" w14:textId="77777777">
      <w:pPr>
        <w:pBdr>
          <w:top w:val="single" w:color="auto" w:sz="4" w:space="1"/>
          <w:left w:val="single" w:color="auto" w:sz="4" w:space="4"/>
          <w:bottom w:val="single" w:color="auto" w:sz="4" w:space="1"/>
          <w:right w:val="single" w:color="auto" w:sz="4" w:space="4"/>
        </w:pBdr>
        <w:spacing w:after="0"/>
        <w:rPr>
          <w:rFonts w:ascii="Arial" w:hAnsi="Arial" w:cs="Arial"/>
          <w:sz w:val="20"/>
          <w:szCs w:val="20"/>
          <w:lang w:val="en-AU"/>
        </w:rPr>
      </w:pPr>
      <w:r w:rsidRPr="00FA65D5">
        <w:rPr>
          <w:rFonts w:ascii="Arial" w:hAnsi="Arial" w:cs="Arial"/>
          <w:sz w:val="20"/>
          <w:szCs w:val="20"/>
          <w:lang w:val="en-AU"/>
        </w:rPr>
        <w:t xml:space="preserve">This variation will be published in the Commonwealth of Australia Gazette No. FSC </w:t>
      </w:r>
      <w:r w:rsidRPr="00FA65D5">
        <w:rPr>
          <w:rFonts w:ascii="Arial" w:hAnsi="Arial" w:cs="Arial"/>
          <w:color w:val="FF0000"/>
          <w:sz w:val="20"/>
          <w:szCs w:val="20"/>
          <w:lang w:val="en-AU"/>
        </w:rPr>
        <w:t>XX on XX Month 20XX</w:t>
      </w:r>
      <w:r w:rsidRPr="00FA65D5">
        <w:rPr>
          <w:rFonts w:ascii="Arial" w:hAnsi="Arial" w:cs="Arial"/>
          <w:sz w:val="20"/>
          <w:szCs w:val="20"/>
          <w:lang w:val="en-AU"/>
        </w:rPr>
        <w:t xml:space="preserve">. This means that this date is the gazettal date for the purposes of clause 3 of the variation. </w:t>
      </w:r>
    </w:p>
    <w:p w:rsidRPr="00E26D23" w:rsidR="00E26D23" w:rsidP="00E26D23" w:rsidRDefault="00E26D23" w14:paraId="74E7B014" w14:textId="77777777">
      <w:pPr>
        <w:widowControl w:val="0"/>
        <w:spacing w:after="0" w:line="240" w:lineRule="auto"/>
        <w:rPr>
          <w:rFonts w:ascii="Arial" w:hAnsi="Arial" w:eastAsia="Times New Roman" w:cs="Times New Roman"/>
          <w:szCs w:val="24"/>
          <w:lang w:val="en-GB"/>
        </w:rPr>
      </w:pPr>
    </w:p>
    <w:p w:rsidR="003F64EC" w:rsidP="00E26D23" w:rsidRDefault="00E26D23" w14:paraId="2FC5AE49" w14:textId="77777777">
      <w:pPr>
        <w:keepNext/>
        <w:widowControl w:val="0"/>
        <w:spacing w:before="240" w:after="240" w:line="240" w:lineRule="auto"/>
        <w:outlineLvl w:val="1"/>
        <w:rPr>
          <w:rFonts w:ascii="Arial" w:hAnsi="Arial" w:eastAsia="Times New Roman" w:cs="Arial"/>
          <w:b/>
          <w:bCs/>
          <w:sz w:val="28"/>
          <w:lang w:val="en-GB"/>
        </w:rPr>
      </w:pPr>
      <w:r w:rsidRPr="00E26D23">
        <w:rPr>
          <w:rFonts w:ascii="Arial" w:hAnsi="Arial" w:eastAsia="Times New Roman" w:cs="Arial"/>
          <w:b/>
          <w:bCs/>
          <w:sz w:val="28"/>
          <w:lang w:val="en-GB"/>
        </w:rPr>
        <w:br w:type="page"/>
      </w:r>
    </w:p>
    <w:p w:rsidRPr="005F585D" w:rsidR="003F64EC" w:rsidP="003F64EC" w:rsidRDefault="003F64EC" w14:paraId="596139FC" w14:textId="77777777">
      <w:pPr>
        <w:pStyle w:val="FSCDraftingitemheading"/>
      </w:pPr>
      <w:r w:rsidRPr="00D433B1">
        <w:lastRenderedPageBreak/>
        <w:t>1</w:t>
      </w:r>
      <w:r w:rsidRPr="00D433B1">
        <w:tab/>
      </w:r>
      <w:r w:rsidRPr="00D433B1">
        <w:t>Name</w:t>
      </w:r>
    </w:p>
    <w:p w:rsidRPr="00F618DF" w:rsidR="003F64EC" w:rsidP="003F64EC" w:rsidRDefault="003F64EC" w14:paraId="01FA5B9B" w14:textId="77777777">
      <w:pPr>
        <w:pStyle w:val="FSCDraftingitem"/>
      </w:pPr>
      <w:r w:rsidRPr="00DB170D">
        <w:t xml:space="preserve">This instrument is the </w:t>
      </w:r>
      <w:r w:rsidRPr="00792F7C">
        <w:rPr>
          <w:i/>
        </w:rPr>
        <w:t>Food Standards (</w:t>
      </w:r>
      <w:r w:rsidRPr="0075252A">
        <w:rPr>
          <w:i/>
        </w:rPr>
        <w:t xml:space="preserve">Application A1238 – Serine endopeptidase enzyme from GM </w:t>
      </w:r>
      <w:r w:rsidRPr="0075252A">
        <w:t>Trichoderma reesei</w:t>
      </w:r>
      <w:r w:rsidRPr="00792F7C">
        <w:rPr>
          <w:i/>
        </w:rPr>
        <w:t>) Variation</w:t>
      </w:r>
      <w:r w:rsidRPr="00F618DF">
        <w:t>.</w:t>
      </w:r>
    </w:p>
    <w:p w:rsidRPr="00D433B1" w:rsidR="003F64EC" w:rsidP="003F64EC" w:rsidRDefault="003F64EC" w14:paraId="7C9901BA" w14:textId="77777777">
      <w:pPr>
        <w:pStyle w:val="FSCDraftingitemheading"/>
      </w:pPr>
      <w:r w:rsidRPr="00D433B1">
        <w:t>2</w:t>
      </w:r>
      <w:r w:rsidRPr="00D433B1">
        <w:tab/>
      </w:r>
      <w:r w:rsidRPr="00D433B1">
        <w:t xml:space="preserve">Variation to </w:t>
      </w:r>
      <w:r w:rsidRPr="007A6D6C">
        <w:t xml:space="preserve">a standard </w:t>
      </w:r>
      <w:r w:rsidRPr="00D433B1">
        <w:t xml:space="preserve">in the </w:t>
      </w:r>
      <w:r w:rsidRPr="00C51355">
        <w:rPr>
          <w:i/>
        </w:rPr>
        <w:t>Australia New Zealand Food Standards Code</w:t>
      </w:r>
    </w:p>
    <w:p w:rsidR="003F64EC" w:rsidP="003F64EC" w:rsidRDefault="003F64EC" w14:paraId="14E43429" w14:textId="77777777">
      <w:pPr>
        <w:pStyle w:val="FSCDraftingitem"/>
      </w:pPr>
      <w:r>
        <w:t xml:space="preserve">The Schedule varies </w:t>
      </w:r>
      <w:r w:rsidRPr="007A6D6C">
        <w:t xml:space="preserve">a Standard </w:t>
      </w:r>
      <w:r>
        <w:t xml:space="preserve">in the </w:t>
      </w:r>
      <w:r w:rsidRPr="00792F7C">
        <w:rPr>
          <w:i/>
        </w:rPr>
        <w:t>Australia New Zealand Food Standards Code</w:t>
      </w:r>
      <w:r>
        <w:t>.</w:t>
      </w:r>
    </w:p>
    <w:p w:rsidRPr="00D433B1" w:rsidR="003F64EC" w:rsidP="003F64EC" w:rsidRDefault="003F64EC" w14:paraId="11B1CF8E" w14:textId="77777777">
      <w:pPr>
        <w:pStyle w:val="FSCDraftingitemheading"/>
      </w:pPr>
      <w:r w:rsidRPr="00D433B1">
        <w:t>3</w:t>
      </w:r>
      <w:r w:rsidRPr="00D433B1">
        <w:tab/>
      </w:r>
      <w:r w:rsidRPr="00D433B1">
        <w:t>Commencement</w:t>
      </w:r>
    </w:p>
    <w:p w:rsidR="003F64EC" w:rsidP="003F64EC" w:rsidRDefault="003F64EC" w14:paraId="6D743913" w14:textId="77777777">
      <w:pPr>
        <w:pStyle w:val="FSCDraftingitem"/>
      </w:pPr>
      <w:r>
        <w:t>The variation commenc</w:t>
      </w:r>
      <w:r w:rsidRPr="000055C4">
        <w:t>e</w:t>
      </w:r>
      <w:r>
        <w:t>s</w:t>
      </w:r>
      <w:r w:rsidRPr="000055C4">
        <w:t xml:space="preserve"> on</w:t>
      </w:r>
      <w:r>
        <w:t xml:space="preserve"> the date of gazettal.</w:t>
      </w:r>
    </w:p>
    <w:p w:rsidRPr="00D433B1" w:rsidR="003F64EC" w:rsidP="5058D6E4" w:rsidRDefault="0065733F" w14:paraId="1EBE7A7A" w14:textId="047664B4">
      <w:pPr>
        <w:jc w:val="center"/>
        <w:rPr>
          <w:b/>
          <w:bCs/>
          <w:sz w:val="20"/>
          <w:szCs w:val="20"/>
        </w:rPr>
      </w:pPr>
      <w:r w:rsidRPr="5058D6E4">
        <w:rPr>
          <w:rFonts w:ascii="Arial" w:hAnsi="Arial" w:eastAsia="Times New Roman" w:cs="Times New Roman"/>
          <w:b/>
          <w:bCs/>
          <w:sz w:val="20"/>
          <w:szCs w:val="20"/>
          <w:lang w:val="en-GB" w:bidi="en-US"/>
        </w:rPr>
        <w:t>Schedule</w:t>
      </w:r>
    </w:p>
    <w:p w:rsidR="003F64EC" w:rsidP="003F64EC" w:rsidRDefault="003F64EC" w14:paraId="0C6D5571" w14:textId="77777777">
      <w:pPr>
        <w:pStyle w:val="FSCDraftingitem"/>
        <w:rPr>
          <w:lang w:bidi="en-US"/>
        </w:rPr>
      </w:pPr>
      <w:r w:rsidRPr="00153BDC">
        <w:rPr>
          <w:b/>
          <w:lang w:bidi="en-US"/>
        </w:rPr>
        <w:t>Schedule 18</w:t>
      </w:r>
      <w:r>
        <w:rPr>
          <w:b/>
          <w:lang w:bidi="en-US"/>
        </w:rPr>
        <w:t>—Processing aids</w:t>
      </w:r>
      <w:r w:rsidRPr="00360C8F">
        <w:rPr>
          <w:lang w:bidi="en-US"/>
        </w:rPr>
        <w:t xml:space="preserve"> </w:t>
      </w:r>
    </w:p>
    <w:p w:rsidRPr="0048041D" w:rsidR="003F64EC" w:rsidP="003F64EC" w:rsidRDefault="003F64EC" w14:paraId="59738F97" w14:textId="77777777">
      <w:pPr>
        <w:pStyle w:val="FSCDraftingitem"/>
        <w:rPr>
          <w:b/>
        </w:rPr>
      </w:pPr>
      <w:r w:rsidRPr="0048041D">
        <w:rPr>
          <w:b/>
          <w:lang w:bidi="en-US"/>
        </w:rPr>
        <w:t>[1]</w:t>
      </w:r>
      <w:r>
        <w:rPr>
          <w:lang w:bidi="en-US"/>
        </w:rPr>
        <w:tab/>
      </w:r>
      <w:r w:rsidRPr="0048041D">
        <w:rPr>
          <w:b/>
        </w:rPr>
        <w:t>Subsection S18—9(3) (table)</w:t>
      </w:r>
    </w:p>
    <w:p w:rsidR="003F64EC" w:rsidP="003F64EC" w:rsidRDefault="003F64EC" w14:paraId="41586EE5" w14:textId="77777777">
      <w:pPr>
        <w:pStyle w:val="FSCDraftingitem"/>
      </w:pPr>
      <w:r>
        <w:tab/>
      </w:r>
      <w:r>
        <w:t>Insert:</w:t>
      </w:r>
    </w:p>
    <w:tbl>
      <w:tblPr>
        <w:tblStyle w:val="TableGrid"/>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Caption w:val="Proposed Drafting  for A1238"/>
      </w:tblPr>
      <w:tblGrid>
        <w:gridCol w:w="3120"/>
        <w:gridCol w:w="3603"/>
        <w:gridCol w:w="2349"/>
      </w:tblGrid>
      <w:tr w:rsidRPr="00CE5B86" w:rsidR="003F64EC" w:rsidTr="004E28A7" w14:paraId="224CA80C" w14:textId="77777777">
        <w:trPr>
          <w:tblHeader/>
          <w:jc w:val="center"/>
        </w:trPr>
        <w:tc>
          <w:tcPr>
            <w:tcW w:w="3120" w:type="dxa"/>
          </w:tcPr>
          <w:p w:rsidRPr="0075252A" w:rsidR="003F64EC" w:rsidP="004E28A7" w:rsidRDefault="003F64EC" w14:paraId="78A31543" w14:textId="77777777">
            <w:pPr>
              <w:pStyle w:val="FSCtblMain"/>
              <w:rPr>
                <w:szCs w:val="18"/>
              </w:rPr>
            </w:pPr>
            <w:r w:rsidRPr="0075252A">
              <w:rPr>
                <w:szCs w:val="18"/>
              </w:rPr>
              <w:t xml:space="preserve">Thermomycolin (EC 3.4.21.65) sourced from </w:t>
            </w:r>
            <w:r w:rsidRPr="0075252A">
              <w:rPr>
                <w:i/>
                <w:szCs w:val="18"/>
              </w:rPr>
              <w:t>Trichoderma reesei</w:t>
            </w:r>
            <w:r w:rsidRPr="0075252A">
              <w:rPr>
                <w:szCs w:val="18"/>
              </w:rPr>
              <w:t xml:space="preserve"> containing the </w:t>
            </w:r>
            <w:r w:rsidRPr="001C336D">
              <w:rPr>
                <w:szCs w:val="18"/>
              </w:rPr>
              <w:t>thermomycolin</w:t>
            </w:r>
            <w:r w:rsidRPr="0075252A">
              <w:rPr>
                <w:szCs w:val="18"/>
              </w:rPr>
              <w:t xml:space="preserve"> gene from </w:t>
            </w:r>
            <w:r w:rsidRPr="0075252A">
              <w:rPr>
                <w:i/>
                <w:szCs w:val="18"/>
              </w:rPr>
              <w:t>Malbranchea cinnamomea</w:t>
            </w:r>
          </w:p>
        </w:tc>
        <w:tc>
          <w:tcPr>
            <w:tcW w:w="3603" w:type="dxa"/>
          </w:tcPr>
          <w:p w:rsidR="003F64EC" w:rsidP="004E28A7" w:rsidRDefault="003F64EC" w14:paraId="2373B5E2" w14:textId="77777777">
            <w:pPr>
              <w:pStyle w:val="FSCtblMain"/>
            </w:pPr>
            <w:r>
              <w:t>To catalyse the hydrolysis of peptide bonds during the manufacture and/or processing of the following types of food:</w:t>
            </w:r>
          </w:p>
          <w:p w:rsidR="003F64EC" w:rsidP="003F64EC" w:rsidRDefault="003F64EC" w14:paraId="29157366" w14:textId="77777777">
            <w:pPr>
              <w:pStyle w:val="FSCtblMain"/>
              <w:numPr>
                <w:ilvl w:val="0"/>
                <w:numId w:val="9"/>
              </w:numPr>
              <w:ind w:left="457"/>
            </w:pPr>
            <w:r>
              <w:t>m</w:t>
            </w:r>
            <w:r w:rsidRPr="00D13FF9">
              <w:t>eat products</w:t>
            </w:r>
            <w:r>
              <w:t>;</w:t>
            </w:r>
          </w:p>
          <w:p w:rsidR="003F64EC" w:rsidP="003F64EC" w:rsidRDefault="003F64EC" w14:paraId="36F8D0CB" w14:textId="77777777">
            <w:pPr>
              <w:pStyle w:val="FSCtblMain"/>
              <w:numPr>
                <w:ilvl w:val="0"/>
                <w:numId w:val="9"/>
              </w:numPr>
              <w:ind w:left="457"/>
            </w:pPr>
            <w:r>
              <w:t>v</w:t>
            </w:r>
            <w:r w:rsidRPr="00D13FF9">
              <w:t>egetable products</w:t>
            </w:r>
            <w:r>
              <w:t>; and</w:t>
            </w:r>
          </w:p>
          <w:p w:rsidRPr="006A0D42" w:rsidR="003F64EC" w:rsidP="003F64EC" w:rsidRDefault="003F64EC" w14:paraId="026ED331" w14:textId="77777777">
            <w:pPr>
              <w:pStyle w:val="FSCtblMain"/>
              <w:numPr>
                <w:ilvl w:val="0"/>
                <w:numId w:val="9"/>
              </w:numPr>
              <w:ind w:left="457"/>
            </w:pPr>
            <w:r w:rsidRPr="00D13FF9">
              <w:t>seafood products</w:t>
            </w:r>
            <w:r>
              <w:t>.</w:t>
            </w:r>
          </w:p>
          <w:p w:rsidRPr="00882708" w:rsidR="003F64EC" w:rsidP="004E28A7" w:rsidRDefault="003F64EC" w14:paraId="70A8B14D" w14:textId="77777777">
            <w:pPr>
              <w:pStyle w:val="FSCtblMain"/>
            </w:pPr>
          </w:p>
        </w:tc>
        <w:tc>
          <w:tcPr>
            <w:tcW w:w="2349" w:type="dxa"/>
          </w:tcPr>
          <w:p w:rsidRPr="00CE5B86" w:rsidR="003F64EC" w:rsidP="004E28A7" w:rsidRDefault="003F64EC" w14:paraId="12A6C127" w14:textId="77777777">
            <w:pPr>
              <w:pStyle w:val="FSCtblMain"/>
            </w:pPr>
            <w:r w:rsidRPr="00D331A4">
              <w:t>GMP</w:t>
            </w:r>
          </w:p>
        </w:tc>
      </w:tr>
    </w:tbl>
    <w:p w:rsidR="003F64EC" w:rsidP="003F64EC" w:rsidRDefault="003F64EC" w14:paraId="71D794A5" w14:textId="77777777">
      <w:pPr>
        <w:pStyle w:val="FSCDraftingitem"/>
      </w:pPr>
    </w:p>
    <w:p w:rsidRPr="00BC5EE1" w:rsidR="003F64EC" w:rsidP="003F64EC" w:rsidRDefault="003F64EC" w14:paraId="766E784C" w14:textId="77777777"/>
    <w:p w:rsidRPr="00795D86" w:rsidR="003F64EC" w:rsidP="003F64EC" w:rsidRDefault="003F64EC" w14:paraId="0709ED48" w14:textId="77777777"/>
    <w:p w:rsidR="003F64EC" w:rsidP="003F64EC" w:rsidRDefault="003F64EC" w14:paraId="22E08567" w14:textId="77777777">
      <w:pPr>
        <w:rPr>
          <w:lang w:val="en-AU" w:eastAsia="en-GB"/>
        </w:rPr>
      </w:pPr>
      <w:r w:rsidRPr="00932F14">
        <w:br w:type="page"/>
      </w:r>
    </w:p>
    <w:p w:rsidRPr="00E26D23" w:rsidR="00E26D23" w:rsidP="00E26D23" w:rsidRDefault="00E26D23" w14:paraId="775AF7C8" w14:textId="0CAF57FF">
      <w:pPr>
        <w:keepNext/>
        <w:widowControl w:val="0"/>
        <w:spacing w:before="240" w:after="240" w:line="240" w:lineRule="auto"/>
        <w:outlineLvl w:val="1"/>
        <w:rPr>
          <w:rFonts w:ascii="Arial" w:hAnsi="Arial" w:eastAsia="Times New Roman" w:cs="Arial"/>
          <w:b/>
          <w:bCs/>
          <w:sz w:val="28"/>
          <w:lang w:val="en-GB"/>
        </w:rPr>
      </w:pPr>
      <w:r w:rsidRPr="00E26D23">
        <w:rPr>
          <w:rFonts w:ascii="Arial" w:hAnsi="Arial" w:eastAsia="Times New Roman" w:cs="Arial"/>
          <w:b/>
          <w:bCs/>
          <w:sz w:val="28"/>
          <w:lang w:val="en-GB"/>
        </w:rPr>
        <w:lastRenderedPageBreak/>
        <w:t>Attachment B – Explanatory Statement</w:t>
      </w:r>
    </w:p>
    <w:p w:rsidRPr="003F64EC" w:rsidR="003F64EC" w:rsidP="003F64EC" w:rsidRDefault="003F64EC" w14:paraId="22EEC1DB" w14:textId="77777777">
      <w:pPr>
        <w:spacing w:after="0"/>
        <w:rPr>
          <w:rFonts w:ascii="Arial" w:hAnsi="Arial" w:cs="Arial"/>
          <w:b/>
          <w:lang w:val="en-AU" w:eastAsia="en-GB"/>
        </w:rPr>
      </w:pPr>
      <w:r w:rsidRPr="003F64EC">
        <w:rPr>
          <w:rFonts w:ascii="Arial" w:hAnsi="Arial" w:cs="Arial"/>
          <w:b/>
          <w:lang w:val="en-AU" w:eastAsia="en-GB"/>
        </w:rPr>
        <w:t>1.</w:t>
      </w:r>
      <w:r w:rsidRPr="003F64EC">
        <w:rPr>
          <w:rFonts w:ascii="Arial" w:hAnsi="Arial" w:cs="Arial"/>
          <w:b/>
          <w:lang w:val="en-AU" w:eastAsia="en-GB"/>
        </w:rPr>
        <w:tab/>
      </w:r>
      <w:r w:rsidRPr="003F64EC">
        <w:rPr>
          <w:rFonts w:ascii="Arial" w:hAnsi="Arial" w:cs="Arial"/>
          <w:b/>
          <w:lang w:val="en-AU" w:eastAsia="en-GB"/>
        </w:rPr>
        <w:t>Authority</w:t>
      </w:r>
    </w:p>
    <w:p w:rsidRPr="003F64EC" w:rsidR="003F64EC" w:rsidP="003F64EC" w:rsidRDefault="003F64EC" w14:paraId="3C8FA209" w14:textId="77777777">
      <w:pPr>
        <w:spacing w:after="0"/>
        <w:rPr>
          <w:rFonts w:ascii="Arial" w:hAnsi="Arial" w:cs="Arial"/>
          <w:lang w:val="en-AU" w:eastAsia="en-GB"/>
        </w:rPr>
      </w:pPr>
    </w:p>
    <w:p w:rsidRPr="003F64EC" w:rsidR="003F64EC" w:rsidP="003F64EC" w:rsidRDefault="003F64EC" w14:paraId="6D4804F0" w14:textId="77777777">
      <w:pPr>
        <w:autoSpaceDE w:val="0"/>
        <w:autoSpaceDN w:val="0"/>
        <w:adjustRightInd w:val="0"/>
        <w:spacing w:after="0"/>
        <w:rPr>
          <w:rFonts w:ascii="Arial" w:hAnsi="Arial" w:eastAsia="Calibri" w:cs="Arial"/>
          <w:bCs/>
          <w:lang w:val="en-AU"/>
        </w:rPr>
      </w:pPr>
      <w:r w:rsidRPr="003F64EC">
        <w:rPr>
          <w:rFonts w:ascii="Arial" w:hAnsi="Arial" w:eastAsia="Calibri" w:cs="Arial"/>
          <w:bCs/>
          <w:lang w:val="en-AU"/>
        </w:rPr>
        <w:t xml:space="preserve">Section 13 of the </w:t>
      </w:r>
      <w:r w:rsidRPr="003F64EC">
        <w:rPr>
          <w:rFonts w:ascii="Arial" w:hAnsi="Arial" w:eastAsia="Calibri" w:cs="Arial"/>
          <w:bCs/>
          <w:i/>
          <w:lang w:val="en-AU"/>
        </w:rPr>
        <w:t>Food Standards Australia New Zealand Act 1991</w:t>
      </w:r>
      <w:r w:rsidRPr="003F64EC">
        <w:rPr>
          <w:rFonts w:ascii="Arial" w:hAnsi="Arial" w:eastAsia="Calibri" w:cs="Arial"/>
          <w:bCs/>
          <w:lang w:val="en-AU"/>
        </w:rPr>
        <w:t xml:space="preserve"> (the FSANZ Act) provides that the functions of Food Standards Australia New Zealand (the Authority) include the development of standards and variations of standards for inclusion in the </w:t>
      </w:r>
      <w:r w:rsidRPr="003F64EC">
        <w:rPr>
          <w:rFonts w:ascii="Arial" w:hAnsi="Arial" w:eastAsia="Calibri" w:cs="Arial"/>
          <w:bCs/>
          <w:i/>
          <w:lang w:val="en-AU"/>
        </w:rPr>
        <w:t>Australia New Zealand Food Standards Code</w:t>
      </w:r>
      <w:r w:rsidRPr="003F64EC">
        <w:rPr>
          <w:rFonts w:ascii="Arial" w:hAnsi="Arial" w:eastAsia="Calibri" w:cs="Arial"/>
          <w:bCs/>
          <w:lang w:val="en-AU"/>
        </w:rPr>
        <w:t xml:space="preserve"> (the Code).</w:t>
      </w:r>
    </w:p>
    <w:p w:rsidRPr="003F64EC" w:rsidR="003F64EC" w:rsidP="003F64EC" w:rsidRDefault="003F64EC" w14:paraId="7EF26AF0" w14:textId="77777777">
      <w:pPr>
        <w:autoSpaceDE w:val="0"/>
        <w:autoSpaceDN w:val="0"/>
        <w:adjustRightInd w:val="0"/>
        <w:spacing w:after="0"/>
        <w:rPr>
          <w:rFonts w:ascii="Arial" w:hAnsi="Arial" w:eastAsia="Calibri" w:cs="Arial"/>
          <w:bCs/>
          <w:lang w:val="en-AU"/>
        </w:rPr>
      </w:pPr>
    </w:p>
    <w:p w:rsidRPr="003F64EC" w:rsidR="003F64EC" w:rsidP="003F64EC" w:rsidRDefault="003F64EC" w14:paraId="34FD6DDA" w14:textId="77777777">
      <w:pPr>
        <w:autoSpaceDE w:val="0"/>
        <w:autoSpaceDN w:val="0"/>
        <w:adjustRightInd w:val="0"/>
        <w:spacing w:after="0"/>
        <w:rPr>
          <w:rFonts w:ascii="Arial" w:hAnsi="Arial" w:eastAsia="Calibri" w:cs="Arial"/>
          <w:bCs/>
          <w:lang w:val="en-AU"/>
        </w:rPr>
      </w:pPr>
      <w:r w:rsidRPr="003F64EC">
        <w:rPr>
          <w:rFonts w:ascii="Arial" w:hAnsi="Arial"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Pr="003F64EC" w:rsidR="003F64EC" w:rsidP="003F64EC" w:rsidRDefault="003F64EC" w14:paraId="796C16FD" w14:textId="77777777">
      <w:pPr>
        <w:autoSpaceDE w:val="0"/>
        <w:autoSpaceDN w:val="0"/>
        <w:adjustRightInd w:val="0"/>
        <w:spacing w:after="0"/>
        <w:rPr>
          <w:rFonts w:ascii="Arial" w:hAnsi="Arial" w:eastAsia="Calibri" w:cs="Arial"/>
          <w:bCs/>
          <w:lang w:val="en-AU"/>
        </w:rPr>
      </w:pPr>
    </w:p>
    <w:p w:rsidRPr="003F64EC" w:rsidR="003F64EC" w:rsidP="5058D6E4" w:rsidRDefault="003F64EC" w14:paraId="42BADD19" w14:textId="18BEBA30">
      <w:pPr>
        <w:autoSpaceDE w:val="0"/>
        <w:autoSpaceDN w:val="0"/>
        <w:adjustRightInd w:val="0"/>
        <w:spacing w:after="0"/>
        <w:rPr>
          <w:rFonts w:ascii="Arial" w:hAnsi="Arial" w:eastAsia="Calibri" w:cs="Arial"/>
          <w:lang w:val="en-AU"/>
        </w:rPr>
      </w:pPr>
      <w:r w:rsidRPr="5058D6E4">
        <w:rPr>
          <w:rFonts w:ascii="Arial" w:hAnsi="Arial" w:eastAsia="Calibri" w:cs="Arial"/>
          <w:lang w:val="en-AU"/>
        </w:rPr>
        <w:t xml:space="preserve">FSANZ accepted </w:t>
      </w:r>
      <w:r w:rsidRPr="5058D6E4" w:rsidR="00237B71">
        <w:rPr>
          <w:rFonts w:ascii="Arial" w:hAnsi="Arial" w:eastAsia="Calibri" w:cs="Arial"/>
          <w:lang w:val="en-AU"/>
        </w:rPr>
        <w:t xml:space="preserve">Application </w:t>
      </w:r>
      <w:r w:rsidRPr="5058D6E4">
        <w:rPr>
          <w:rFonts w:ascii="Arial" w:hAnsi="Arial" w:eastAsia="Calibri" w:cs="Arial"/>
          <w:lang w:val="en-AU"/>
        </w:rPr>
        <w:t xml:space="preserve">A1238 which </w:t>
      </w:r>
      <w:r w:rsidRPr="5058D6E4" w:rsidR="00FF6AEE">
        <w:rPr>
          <w:rFonts w:ascii="Arial" w:hAnsi="Arial" w:eastAsia="Calibri" w:cs="Arial"/>
          <w:lang w:val="en-AU"/>
        </w:rPr>
        <w:t xml:space="preserve">sought to amend the Code </w:t>
      </w:r>
      <w:r w:rsidRPr="5058D6E4">
        <w:rPr>
          <w:rFonts w:ascii="Arial" w:hAnsi="Arial" w:eastAsia="Calibri" w:cs="Arial"/>
          <w:lang w:val="en-AU"/>
        </w:rPr>
        <w:t xml:space="preserve">to permit </w:t>
      </w:r>
      <w:r w:rsidRPr="5058D6E4" w:rsidR="00D10557">
        <w:rPr>
          <w:rFonts w:ascii="Arial" w:hAnsi="Arial" w:eastAsia="Calibri" w:cs="Arial"/>
          <w:lang w:val="en-AU"/>
        </w:rPr>
        <w:t xml:space="preserve">the use of </w:t>
      </w:r>
      <w:r w:rsidRPr="5058D6E4">
        <w:rPr>
          <w:rFonts w:ascii="Arial" w:hAnsi="Arial" w:eastAsia="Calibri" w:cs="Arial"/>
          <w:lang w:val="en-AU"/>
        </w:rPr>
        <w:t xml:space="preserve">the enzyme, thermomycolin (EC 3.4.21.65) sourced from a genetically modified (GM) strain of </w:t>
      </w:r>
      <w:r w:rsidRPr="5058D6E4">
        <w:rPr>
          <w:rFonts w:ascii="Arial" w:hAnsi="Arial" w:eastAsia="Calibri" w:cs="Arial"/>
          <w:i/>
          <w:iCs/>
          <w:lang w:val="en-AU"/>
        </w:rPr>
        <w:t>Trichoderma reesei</w:t>
      </w:r>
      <w:r w:rsidRPr="5058D6E4">
        <w:rPr>
          <w:rFonts w:ascii="Arial" w:hAnsi="Arial" w:eastAsia="Calibri" w:cs="Arial"/>
          <w:lang w:val="en-AU"/>
        </w:rPr>
        <w:t xml:space="preserve"> containing the thermomycolin gene from </w:t>
      </w:r>
      <w:r w:rsidRPr="5058D6E4">
        <w:rPr>
          <w:rFonts w:ascii="Arial" w:hAnsi="Arial" w:eastAsia="Calibri" w:cs="Arial"/>
          <w:i/>
          <w:iCs/>
          <w:lang w:val="en-AU"/>
        </w:rPr>
        <w:t>Malbranchea cinnamomea</w:t>
      </w:r>
      <w:r w:rsidRPr="5058D6E4" w:rsidR="00D10557">
        <w:rPr>
          <w:rFonts w:ascii="Arial" w:hAnsi="Arial" w:eastAsia="Calibri" w:cs="Arial"/>
          <w:lang w:val="en-AU"/>
        </w:rPr>
        <w:t xml:space="preserve"> as</w:t>
      </w:r>
      <w:r w:rsidRPr="5058D6E4">
        <w:rPr>
          <w:rFonts w:ascii="Arial" w:hAnsi="Arial" w:eastAsia="Calibri" w:cs="Arial"/>
          <w:lang w:val="en-AU"/>
        </w:rPr>
        <w:t xml:space="preserve"> a processing aid </w:t>
      </w:r>
      <w:r w:rsidRPr="5058D6E4">
        <w:rPr>
          <w:rFonts w:ascii="Arial" w:hAnsi="Arial" w:cs="Arial"/>
        </w:rPr>
        <w:t>to catalyse the hydrolysis of peptide bonds during</w:t>
      </w:r>
      <w:r w:rsidRPr="5058D6E4">
        <w:rPr>
          <w:rFonts w:ascii="Arial" w:hAnsi="Arial" w:eastAsia="Calibri" w:cs="Arial"/>
          <w:lang w:val="en-AU"/>
        </w:rPr>
        <w:t xml:space="preserve"> the manufacture and/or processing of meat, vegetable and seafood products. The Authority considered the </w:t>
      </w:r>
      <w:r w:rsidRPr="5058D6E4" w:rsidR="005979AA">
        <w:rPr>
          <w:rFonts w:ascii="Arial" w:hAnsi="Arial" w:eastAsia="Calibri" w:cs="Arial"/>
          <w:lang w:val="en-AU"/>
        </w:rPr>
        <w:t>A</w:t>
      </w:r>
      <w:r w:rsidRPr="5058D6E4">
        <w:rPr>
          <w:rFonts w:ascii="Arial" w:hAnsi="Arial" w:eastAsia="Calibri" w:cs="Arial"/>
          <w:lang w:val="en-AU"/>
        </w:rPr>
        <w:t xml:space="preserve">pplication in accordance with Division 1 of Part 3 and has </w:t>
      </w:r>
      <w:r w:rsidRPr="5058D6E4" w:rsidR="007D59AA">
        <w:rPr>
          <w:rFonts w:ascii="Arial" w:hAnsi="Arial" w:eastAsia="Calibri" w:cs="Arial"/>
          <w:lang w:val="en-AU"/>
        </w:rPr>
        <w:t xml:space="preserve">approved </w:t>
      </w:r>
      <w:r w:rsidRPr="5058D6E4">
        <w:rPr>
          <w:rFonts w:ascii="Arial" w:hAnsi="Arial" w:eastAsia="Calibri" w:cs="Arial"/>
          <w:lang w:val="en-AU"/>
        </w:rPr>
        <w:t xml:space="preserve">a draft variation. </w:t>
      </w:r>
    </w:p>
    <w:p w:rsidR="003F64EC" w:rsidP="5058D6E4" w:rsidRDefault="003F64EC" w14:paraId="15C0E539" w14:textId="24152609">
      <w:pPr>
        <w:autoSpaceDE w:val="0"/>
        <w:autoSpaceDN w:val="0"/>
        <w:adjustRightInd w:val="0"/>
        <w:spacing w:after="0"/>
        <w:rPr>
          <w:rFonts w:ascii="Arial" w:hAnsi="Arial" w:eastAsia="Calibri" w:cs="Arial"/>
          <w:lang w:val="en-AU"/>
        </w:rPr>
      </w:pPr>
    </w:p>
    <w:p w:rsidR="00FD6B2B" w:rsidP="5058D6E4" w:rsidRDefault="00FD6B2B" w14:paraId="31F44F6C" w14:textId="097BB8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Following consideration by the Food Ministers’ Meeting (FMM)</w:t>
      </w:r>
      <w:r>
        <w:rPr>
          <w:rStyle w:val="FootnoteReference"/>
          <w:rFonts w:ascii="Arial" w:hAnsi="Arial" w:cs="Arial"/>
          <w:sz w:val="22"/>
          <w:szCs w:val="22"/>
          <w:lang w:val="en-AU"/>
        </w:rPr>
        <w:footnoteReference w:id="7"/>
      </w:r>
      <w:r>
        <w:rPr>
          <w:rStyle w:val="normaltextrun"/>
          <w:rFonts w:ascii="Arial" w:hAnsi="Arial" w:cs="Arial"/>
          <w:sz w:val="22"/>
          <w:szCs w:val="22"/>
          <w:lang w:val="en-AU"/>
        </w:rPr>
        <w:t>, section 92 of the FSANZ Act stipulates that the Authority must publish a notice about the standard or draft variation of a standard.</w:t>
      </w:r>
    </w:p>
    <w:p w:rsidR="00FD6B2B" w:rsidP="5058D6E4" w:rsidRDefault="00FD6B2B" w14:paraId="0497BF00" w14:textId="7501A8AA">
      <w:pPr>
        <w:pStyle w:val="paragraph"/>
        <w:spacing w:before="0" w:beforeAutospacing="0" w:after="0" w:afterAutospacing="0"/>
        <w:textAlignment w:val="baseline"/>
        <w:rPr>
          <w:rFonts w:ascii="Segoe UI" w:hAnsi="Segoe UI" w:cs="Segoe UI"/>
          <w:sz w:val="18"/>
          <w:szCs w:val="18"/>
        </w:rPr>
      </w:pPr>
    </w:p>
    <w:p w:rsidR="00FD6B2B" w:rsidP="004E93E4" w:rsidRDefault="2779D608" w14:paraId="4C871188" w14:textId="1A019EC0">
      <w:pPr>
        <w:pStyle w:val="paragraph"/>
        <w:spacing w:before="0" w:beforeAutospacing="0" w:after="0" w:afterAutospacing="0"/>
        <w:textAlignment w:val="baseline"/>
        <w:rPr>
          <w:rFonts w:ascii="Segoe UI" w:hAnsi="Segoe UI" w:cs="Segoe UI"/>
          <w:sz w:val="18"/>
          <w:szCs w:val="18"/>
        </w:rPr>
      </w:pPr>
      <w:r w:rsidRPr="004E93E4">
        <w:rPr>
          <w:rStyle w:val="normaltextrun"/>
          <w:rFonts w:ascii="Arial" w:hAnsi="Arial" w:cs="Arial"/>
          <w:color w:val="000000" w:themeColor="text1"/>
          <w:sz w:val="22"/>
          <w:szCs w:val="22"/>
          <w:lang w:val="en-AU"/>
        </w:rPr>
        <w:t xml:space="preserve">Section 94 of the FSANZ Act specifies that a standard, or a variation of a standard, in relation to which a notice is published under section 92 is a legislative </w:t>
      </w:r>
      <w:bookmarkStart w:name="_Int_CDhft5cU" w:id="162"/>
      <w:r w:rsidRPr="004E93E4">
        <w:rPr>
          <w:rStyle w:val="normaltextrun"/>
          <w:rFonts w:ascii="Arial" w:hAnsi="Arial" w:cs="Arial"/>
          <w:color w:val="000000" w:themeColor="text1"/>
          <w:sz w:val="22"/>
          <w:szCs w:val="22"/>
          <w:lang w:val="en-AU"/>
        </w:rPr>
        <w:t>instrument, but</w:t>
      </w:r>
      <w:bookmarkEnd w:id="162"/>
      <w:r w:rsidRPr="004E93E4">
        <w:rPr>
          <w:rStyle w:val="normaltextrun"/>
          <w:rFonts w:ascii="Arial" w:hAnsi="Arial" w:cs="Arial"/>
          <w:color w:val="000000" w:themeColor="text1"/>
          <w:sz w:val="22"/>
          <w:szCs w:val="22"/>
          <w:lang w:val="en-AU"/>
        </w:rPr>
        <w:t xml:space="preserve"> is not subject to parliamentary disallowance or sunsetting under the </w:t>
      </w:r>
      <w:r w:rsidRPr="004E93E4">
        <w:rPr>
          <w:rStyle w:val="normaltextrun"/>
          <w:rFonts w:ascii="Arial" w:hAnsi="Arial" w:cs="Arial"/>
          <w:i/>
          <w:iCs/>
          <w:color w:val="000000" w:themeColor="text1"/>
          <w:sz w:val="22"/>
          <w:szCs w:val="22"/>
          <w:lang w:val="en-AU"/>
        </w:rPr>
        <w:t>Legislation Act 2003</w:t>
      </w:r>
      <w:r w:rsidRPr="004E93E4">
        <w:rPr>
          <w:rStyle w:val="normaltextrun"/>
          <w:rFonts w:ascii="Arial" w:hAnsi="Arial" w:cs="Arial"/>
          <w:color w:val="000000" w:themeColor="text1"/>
          <w:sz w:val="22"/>
          <w:szCs w:val="22"/>
          <w:lang w:val="en-AU"/>
        </w:rPr>
        <w:t>.</w:t>
      </w:r>
    </w:p>
    <w:p w:rsidRPr="00FD6B2B" w:rsidR="00FD6B2B" w:rsidP="00FD6B2B" w:rsidRDefault="00FD6B2B" w14:paraId="5A60E862" w14:textId="4CEE6823">
      <w:pPr>
        <w:pStyle w:val="paragraph"/>
        <w:spacing w:before="0" w:beforeAutospacing="0" w:after="0" w:afterAutospacing="0"/>
        <w:textAlignment w:val="baseline"/>
        <w:rPr>
          <w:rFonts w:ascii="Segoe UI" w:hAnsi="Segoe UI" w:cs="Segoe UI"/>
          <w:sz w:val="18"/>
          <w:szCs w:val="18"/>
        </w:rPr>
      </w:pPr>
    </w:p>
    <w:p w:rsidRPr="003F64EC" w:rsidR="003F64EC" w:rsidP="003F64EC" w:rsidRDefault="003F64EC" w14:paraId="242666B8" w14:textId="77777777">
      <w:pPr>
        <w:spacing w:after="0"/>
        <w:rPr>
          <w:rFonts w:ascii="Arial" w:hAnsi="Arial" w:eastAsia="Calibri" w:cs="Arial"/>
          <w:b/>
          <w:bCs/>
          <w:lang w:val="en-AU"/>
        </w:rPr>
      </w:pPr>
      <w:r w:rsidRPr="003F64EC">
        <w:rPr>
          <w:rFonts w:ascii="Arial" w:hAnsi="Arial" w:cs="Arial"/>
          <w:b/>
          <w:lang w:val="en-AU" w:eastAsia="en-GB"/>
        </w:rPr>
        <w:t xml:space="preserve">2. </w:t>
      </w:r>
      <w:r w:rsidRPr="003F64EC">
        <w:rPr>
          <w:rFonts w:ascii="Arial" w:hAnsi="Arial" w:cs="Arial"/>
          <w:b/>
          <w:lang w:val="en-AU" w:eastAsia="en-GB"/>
        </w:rPr>
        <w:tab/>
      </w:r>
      <w:r w:rsidRPr="003F64EC">
        <w:rPr>
          <w:rFonts w:ascii="Arial" w:hAnsi="Arial" w:eastAsia="Calibri" w:cs="Arial"/>
          <w:b/>
          <w:bCs/>
          <w:lang w:val="en-AU"/>
        </w:rPr>
        <w:t>Variation will be a legislative instrument</w:t>
      </w:r>
    </w:p>
    <w:p w:rsidRPr="003F64EC" w:rsidR="003F64EC" w:rsidP="003F64EC" w:rsidRDefault="003F64EC" w14:paraId="703F5E5B" w14:textId="77777777">
      <w:pPr>
        <w:spacing w:after="0"/>
        <w:rPr>
          <w:rFonts w:ascii="Arial" w:hAnsi="Arial" w:eastAsia="Calibri" w:cs="Arial"/>
          <w:lang w:val="en-AU"/>
        </w:rPr>
      </w:pPr>
    </w:p>
    <w:p w:rsidRPr="003F64EC" w:rsidR="003F64EC" w:rsidP="003F64EC" w:rsidRDefault="00FD6B2B" w14:paraId="4A13CE22" w14:textId="15ED7440">
      <w:pPr>
        <w:spacing w:after="0"/>
        <w:rPr>
          <w:rFonts w:ascii="Arial" w:hAnsi="Arial" w:cs="Arial"/>
        </w:rPr>
      </w:pPr>
      <w:r w:rsidRPr="5058D6E4">
        <w:rPr>
          <w:rFonts w:ascii="Arial" w:hAnsi="Arial" w:cs="Arial"/>
        </w:rPr>
        <w:t>The</w:t>
      </w:r>
      <w:r w:rsidRPr="5058D6E4" w:rsidR="003F64EC">
        <w:rPr>
          <w:rFonts w:ascii="Arial" w:hAnsi="Arial" w:cs="Arial"/>
        </w:rPr>
        <w:t xml:space="preserve"> approved draft variation </w:t>
      </w:r>
      <w:r w:rsidRPr="5058D6E4">
        <w:rPr>
          <w:rFonts w:ascii="Arial" w:hAnsi="Arial" w:cs="Arial"/>
        </w:rPr>
        <w:t xml:space="preserve">is </w:t>
      </w:r>
      <w:r w:rsidRPr="5058D6E4" w:rsidR="003F64EC">
        <w:rPr>
          <w:rFonts w:ascii="Arial" w:hAnsi="Arial" w:cs="Arial"/>
        </w:rPr>
        <w:t xml:space="preserve">a legislative instrument for the purposes of the </w:t>
      </w:r>
      <w:r w:rsidRPr="5058D6E4" w:rsidR="003F64EC">
        <w:rPr>
          <w:rFonts w:ascii="Arial" w:hAnsi="Arial" w:cs="Arial"/>
          <w:i/>
          <w:iCs/>
        </w:rPr>
        <w:t>Legislation Act 2003</w:t>
      </w:r>
      <w:r w:rsidRPr="5058D6E4" w:rsidR="003F64EC">
        <w:rPr>
          <w:rFonts w:ascii="Arial" w:hAnsi="Arial" w:cs="Arial"/>
        </w:rPr>
        <w:t xml:space="preserve"> (see section 94 of the FSANZ Act) and </w:t>
      </w:r>
      <w:r w:rsidRPr="5058D6E4">
        <w:rPr>
          <w:rFonts w:ascii="Arial" w:hAnsi="Arial" w:cs="Arial"/>
        </w:rPr>
        <w:t>is</w:t>
      </w:r>
      <w:r w:rsidRPr="5058D6E4" w:rsidR="003F64EC">
        <w:rPr>
          <w:rFonts w:ascii="Arial" w:hAnsi="Arial" w:cs="Arial"/>
        </w:rPr>
        <w:t xml:space="preserve"> publicly available on the Federal Register of Legislation (</w:t>
      </w:r>
      <w:hyperlink r:id="rId23">
        <w:r w:rsidRPr="5058D6E4" w:rsidR="003F64EC">
          <w:rPr>
            <w:rStyle w:val="Hyperlink"/>
            <w:rFonts w:ascii="Arial" w:hAnsi="Arial" w:cs="Arial"/>
          </w:rPr>
          <w:t>www.legislation.gov.au</w:t>
        </w:r>
      </w:hyperlink>
      <w:r w:rsidRPr="5058D6E4" w:rsidR="003F64EC">
        <w:rPr>
          <w:rFonts w:ascii="Arial" w:hAnsi="Arial" w:cs="Arial"/>
        </w:rPr>
        <w:t>).</w:t>
      </w:r>
    </w:p>
    <w:p w:rsidRPr="003F64EC" w:rsidR="003F64EC" w:rsidP="003F64EC" w:rsidRDefault="003F64EC" w14:paraId="74D7B89A" w14:textId="77777777">
      <w:pPr>
        <w:spacing w:after="0"/>
        <w:rPr>
          <w:rFonts w:ascii="Arial" w:hAnsi="Arial" w:cs="Arial"/>
        </w:rPr>
      </w:pPr>
    </w:p>
    <w:p w:rsidRPr="003F64EC" w:rsidR="003F64EC" w:rsidP="003F64EC" w:rsidRDefault="00FD6B2B" w14:paraId="12D1EC60" w14:textId="1A12AAED">
      <w:pPr>
        <w:spacing w:after="0"/>
        <w:rPr>
          <w:rFonts w:ascii="Arial" w:hAnsi="Arial" w:cs="Arial"/>
        </w:rPr>
      </w:pPr>
      <w:r>
        <w:rPr>
          <w:rFonts w:ascii="Arial" w:hAnsi="Arial" w:cs="Arial"/>
        </w:rPr>
        <w:t>T</w:t>
      </w:r>
      <w:r w:rsidRPr="003F64EC" w:rsidR="003F64EC">
        <w:rPr>
          <w:rFonts w:ascii="Arial" w:hAnsi="Arial" w:cs="Arial"/>
        </w:rPr>
        <w:t xml:space="preserve">his instrument </w:t>
      </w:r>
      <w:r>
        <w:rPr>
          <w:rFonts w:ascii="Arial" w:hAnsi="Arial" w:cs="Arial"/>
        </w:rPr>
        <w:t xml:space="preserve">is </w:t>
      </w:r>
      <w:r w:rsidRPr="003F64EC" w:rsidR="003F64EC">
        <w:rPr>
          <w:rFonts w:ascii="Arial" w:hAnsi="Arial" w:cs="Arial"/>
        </w:rPr>
        <w:t xml:space="preserve">not subject to the disallowance or sunsetting provisions of the </w:t>
      </w:r>
      <w:r w:rsidRPr="5058D6E4" w:rsidR="003F64EC">
        <w:rPr>
          <w:rFonts w:ascii="Arial" w:hAnsi="Arial" w:cs="Arial"/>
          <w:i/>
          <w:iCs/>
        </w:rPr>
        <w:t xml:space="preserve">Legislation Act 2003. </w:t>
      </w:r>
      <w:r w:rsidRPr="003F64EC" w:rsidR="003F64EC">
        <w:rPr>
          <w:rFonts w:ascii="Arial" w:hAnsi="Arial" w:cs="Arial"/>
        </w:rPr>
        <w:t>Subsections</w:t>
      </w:r>
      <w:r w:rsidRPr="5058D6E4" w:rsidR="003F64EC">
        <w:rPr>
          <w:rFonts w:ascii="Arial" w:hAnsi="Arial" w:cs="Arial"/>
          <w:i/>
          <w:iCs/>
        </w:rPr>
        <w:t xml:space="preserve"> </w:t>
      </w:r>
      <w:r w:rsidRPr="003F64EC" w:rsidR="003F64EC">
        <w:rPr>
          <w:rFonts w:ascii="Arial" w:hAnsi="Arial" w:cs="Arial"/>
        </w:rPr>
        <w:t>44(1) and 54(1) of that Act</w:t>
      </w:r>
      <w:r w:rsidRPr="5058D6E4" w:rsidR="003F64EC">
        <w:rPr>
          <w:rFonts w:ascii="Arial" w:hAnsi="Arial" w:cs="Arial"/>
          <w:i/>
          <w:iCs/>
        </w:rPr>
        <w:t xml:space="preserve"> </w:t>
      </w:r>
      <w:r w:rsidRPr="003F64EC" w:rsidR="003F64EC">
        <w:rPr>
          <w:rFonts w:ascii="Arial" w:hAnsi="Arial"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5058D6E4" w:rsidR="003F64EC">
        <w:rPr>
          <w:rFonts w:ascii="Arial" w:hAnsi="Arial" w:cs="Arial"/>
          <w:i/>
          <w:iCs/>
        </w:rPr>
        <w:t>Legislation (Exemptions and other Matters) Regulation 2015</w:t>
      </w:r>
      <w:r w:rsidRPr="003F64EC" w:rsidR="003F64EC">
        <w:rPr>
          <w:rFonts w:ascii="Arial" w:hAnsi="Arial" w:cs="Arial"/>
        </w:rPr>
        <w:t xml:space="preserve"> </w:t>
      </w:r>
      <w:r w:rsidRPr="003F64EC" w:rsidR="003F64EC">
        <w:rPr>
          <w:rFonts w:ascii="Arial" w:hAnsi="Arial" w:cs="Arial"/>
          <w:lang w:val="en"/>
        </w:rPr>
        <w:t xml:space="preserve">also exempts from sunsetting legislative instruments </w:t>
      </w:r>
      <w:r w:rsidRPr="003F64EC" w:rsidR="003F64EC">
        <w:rPr>
          <w:rFonts w:ascii="Arial" w:hAnsi="Arial" w:cs="Arial"/>
          <w:shd w:val="clear" w:color="auto" w:fill="FFFFFF"/>
        </w:rPr>
        <w:t xml:space="preserve">a primary purpose of which is to </w:t>
      </w:r>
      <w:r w:rsidRPr="003F64EC" w:rsidR="003F64EC">
        <w:rPr>
          <w:rFonts w:ascii="Arial" w:hAnsi="Arial" w:cs="Arial"/>
        </w:rPr>
        <w:t>give effect to an international obligation of Australia.</w:t>
      </w:r>
    </w:p>
    <w:p w:rsidRPr="003F64EC" w:rsidR="003F64EC" w:rsidP="003F64EC" w:rsidRDefault="003F64EC" w14:paraId="1A65DF3E" w14:textId="77777777">
      <w:pPr>
        <w:spacing w:after="0"/>
        <w:rPr>
          <w:rFonts w:ascii="Arial" w:hAnsi="Arial" w:cs="Arial"/>
        </w:rPr>
      </w:pPr>
    </w:p>
    <w:p w:rsidRPr="00366AB3" w:rsidR="003F64EC" w:rsidP="003F64EC" w:rsidRDefault="003F64EC" w14:paraId="35F48A3C" w14:textId="2382489D">
      <w:pPr>
        <w:spacing w:after="0"/>
        <w:rPr>
          <w:rFonts w:ascii="Arial" w:hAnsi="Arial" w:cs="Arial"/>
          <w:lang w:val="en-AU"/>
        </w:rPr>
      </w:pPr>
      <w:r w:rsidRPr="5058D6E4">
        <w:rPr>
          <w:rFonts w:ascii="Arial" w:hAnsi="Arial" w:cs="Arial"/>
        </w:rPr>
        <w:t xml:space="preserve">The </w:t>
      </w:r>
      <w:r w:rsidRPr="5058D6E4">
        <w:rPr>
          <w:rFonts w:ascii="Arial" w:hAnsi="Arial" w:cs="Arial"/>
          <w:lang w:val="en-AU"/>
        </w:rPr>
        <w:t>FSANZ Act</w:t>
      </w:r>
      <w:r w:rsidRPr="5058D6E4">
        <w:rPr>
          <w:rFonts w:ascii="Arial" w:hAnsi="Arial" w:cs="Arial"/>
          <w:i/>
          <w:iCs/>
          <w:lang w:val="en-AU"/>
        </w:rPr>
        <w:t xml:space="preserve"> </w:t>
      </w:r>
      <w:r w:rsidRPr="5058D6E4">
        <w:rPr>
          <w:rFonts w:ascii="Arial" w:hAnsi="Arial" w:cs="Arial"/>
          <w:lang w:val="en-AU"/>
        </w:rPr>
        <w:t xml:space="preserve">gives effect to </w:t>
      </w:r>
      <w:r w:rsidRPr="5058D6E4">
        <w:rPr>
          <w:rFonts w:ascii="Arial" w:hAnsi="Arial" w:cs="Arial"/>
        </w:rPr>
        <w:t xml:space="preserve">an intergovernmental agreement (the Food Regulation Agreement) and facilitates the establishment or operation of an intergovernmental scheme (national uniform food regulation). </w:t>
      </w:r>
      <w:r w:rsidRPr="5058D6E4">
        <w:rPr>
          <w:rFonts w:ascii="Arial" w:hAnsi="Arial" w:cs="Arial"/>
          <w:lang w:val="en-AU"/>
        </w:rPr>
        <w:t>That Act also</w:t>
      </w:r>
      <w:r w:rsidRPr="5058D6E4">
        <w:rPr>
          <w:rFonts w:ascii="Arial" w:hAnsi="Arial" w:cs="Arial"/>
          <w:i/>
          <w:iCs/>
          <w:lang w:val="en-AU"/>
        </w:rPr>
        <w:t xml:space="preserve"> </w:t>
      </w:r>
      <w:r w:rsidRPr="5058D6E4">
        <w:rPr>
          <w:rFonts w:ascii="Arial" w:hAnsi="Arial" w:cs="Arial"/>
          <w:lang w:val="en-AU"/>
        </w:rPr>
        <w:t xml:space="preserve">gives effect to Australia’s obligations under an international agreement between Australia and New Zealand. For these purposes, the Act </w:t>
      </w:r>
      <w:r w:rsidRPr="5058D6E4">
        <w:rPr>
          <w:rFonts w:ascii="Arial" w:hAnsi="Arial" w:cs="Arial"/>
        </w:rPr>
        <w:t xml:space="preserve">establishes the Authority to </w:t>
      </w:r>
      <w:r w:rsidRPr="5058D6E4">
        <w:rPr>
          <w:rFonts w:ascii="Arial" w:hAnsi="Arial" w:cs="Arial"/>
          <w:lang w:val="en-AU"/>
        </w:rPr>
        <w:t xml:space="preserve">develop food standards </w:t>
      </w:r>
      <w:r w:rsidRPr="5058D6E4">
        <w:rPr>
          <w:rFonts w:ascii="Arial" w:hAnsi="Arial" w:cs="Arial"/>
        </w:rPr>
        <w:t xml:space="preserve">for consideration and endorsement by </w:t>
      </w:r>
      <w:r w:rsidRPr="5058D6E4">
        <w:rPr>
          <w:rFonts w:ascii="Arial" w:hAnsi="Arial" w:cs="Arial"/>
        </w:rPr>
        <w:lastRenderedPageBreak/>
        <w:t xml:space="preserve">the FMM. The FMM is established under the Food Regulation Agreement and the </w:t>
      </w:r>
      <w:r w:rsidRPr="5058D6E4">
        <w:rPr>
          <w:rFonts w:ascii="Arial" w:hAnsi="Arial" w:cs="Arial"/>
          <w:lang w:val="en-AU"/>
        </w:rPr>
        <w:t>international agreement between Australia and New Zealand</w:t>
      </w:r>
      <w:r w:rsidRPr="5058D6E4">
        <w:rPr>
          <w:rFonts w:ascii="Arial" w:hAnsi="Arial" w:cs="Arial"/>
        </w:rPr>
        <w:t xml:space="preserve">, and consists of New Zealand, Commonwealth and State/Territory members. If endorsed by the FMM, </w:t>
      </w:r>
      <w:r w:rsidRPr="5058D6E4">
        <w:rPr>
          <w:rFonts w:ascii="Arial" w:hAnsi="Arial"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rsidRPr="00366AB3" w:rsidR="00366AB3" w:rsidP="003F64EC" w:rsidRDefault="00366AB3" w14:paraId="619920A5" w14:textId="77777777">
      <w:pPr>
        <w:spacing w:after="0"/>
        <w:rPr>
          <w:rFonts w:ascii="Arial" w:hAnsi="Arial" w:cs="Arial"/>
          <w:b/>
          <w:sz w:val="20"/>
          <w:szCs w:val="20"/>
          <w:lang w:val="en-AU" w:eastAsia="en-GB"/>
        </w:rPr>
      </w:pPr>
    </w:p>
    <w:p w:rsidRPr="008D2464" w:rsidR="003F64EC" w:rsidP="003F64EC" w:rsidRDefault="003F64EC" w14:paraId="0167F3A5" w14:textId="77777777">
      <w:pPr>
        <w:spacing w:after="0"/>
        <w:rPr>
          <w:rFonts w:ascii="Arial" w:hAnsi="Arial" w:cs="Arial"/>
          <w:b/>
          <w:lang w:val="en-AU" w:eastAsia="en-GB"/>
        </w:rPr>
      </w:pPr>
      <w:r w:rsidRPr="008D2464">
        <w:rPr>
          <w:rFonts w:ascii="Arial" w:hAnsi="Arial" w:cs="Arial"/>
          <w:b/>
          <w:lang w:val="en-AU" w:eastAsia="en-GB"/>
        </w:rPr>
        <w:t>3.</w:t>
      </w:r>
      <w:r w:rsidRPr="008D2464">
        <w:rPr>
          <w:rFonts w:ascii="Arial" w:hAnsi="Arial" w:cs="Arial"/>
          <w:b/>
          <w:lang w:val="en-AU" w:eastAsia="en-GB"/>
        </w:rPr>
        <w:tab/>
      </w:r>
      <w:r w:rsidRPr="008D2464">
        <w:rPr>
          <w:rFonts w:ascii="Arial" w:hAnsi="Arial" w:cs="Arial"/>
          <w:b/>
          <w:lang w:val="en-AU" w:eastAsia="en-GB"/>
        </w:rPr>
        <w:t xml:space="preserve">Purpose </w:t>
      </w:r>
    </w:p>
    <w:p w:rsidRPr="003F64EC" w:rsidR="003F64EC" w:rsidP="003F64EC" w:rsidRDefault="003F64EC" w14:paraId="0BFABE3C" w14:textId="77777777">
      <w:pPr>
        <w:spacing w:after="0"/>
        <w:rPr>
          <w:rFonts w:ascii="Arial" w:hAnsi="Arial" w:cs="Arial"/>
          <w:lang w:val="en-AU" w:eastAsia="en-GB"/>
        </w:rPr>
      </w:pPr>
    </w:p>
    <w:p w:rsidRPr="003F64EC" w:rsidR="003F64EC" w:rsidP="5058D6E4" w:rsidRDefault="003F64EC" w14:paraId="2D60CD9B" w14:textId="5B146F9E">
      <w:pPr>
        <w:spacing w:after="0"/>
        <w:rPr>
          <w:rFonts w:ascii="Arial" w:hAnsi="Arial" w:cs="Arial"/>
          <w:b/>
          <w:bCs/>
          <w:lang w:val="en-AU" w:eastAsia="en-GB"/>
        </w:rPr>
      </w:pPr>
      <w:r w:rsidRPr="003F64EC">
        <w:rPr>
          <w:rFonts w:ascii="Arial" w:hAnsi="Arial" w:cs="Arial"/>
          <w:lang w:val="en-AU" w:eastAsia="en-GB"/>
        </w:rPr>
        <w:t xml:space="preserve">The Authority has </w:t>
      </w:r>
      <w:r w:rsidR="00366AB3">
        <w:rPr>
          <w:rFonts w:ascii="Arial" w:hAnsi="Arial" w:cs="Arial"/>
          <w:lang w:val="en-AU" w:eastAsia="en-GB"/>
        </w:rPr>
        <w:t>approved</w:t>
      </w:r>
      <w:r w:rsidRPr="003F64EC">
        <w:rPr>
          <w:rFonts w:ascii="Arial" w:hAnsi="Arial" w:cs="Arial"/>
          <w:lang w:val="en-AU" w:eastAsia="en-GB"/>
        </w:rPr>
        <w:t xml:space="preserve"> a draft variation amending the table to section S18––9(3) of the Code to permit the use of</w:t>
      </w:r>
      <w:r w:rsidRPr="5058D6E4">
        <w:rPr>
          <w:rFonts w:ascii="Arial" w:hAnsi="Arial" w:cs="Arial"/>
          <w:lang w:val="en-AU"/>
        </w:rPr>
        <w:t xml:space="preserve"> the enzyme, thermomycolin (EC 3.4.21.65) sourced from a GM strain of </w:t>
      </w:r>
      <w:r w:rsidRPr="5058D6E4">
        <w:rPr>
          <w:rFonts w:ascii="Arial" w:hAnsi="Arial" w:cs="Arial"/>
          <w:i/>
          <w:iCs/>
          <w:lang w:val="en-AU"/>
        </w:rPr>
        <w:t>Trichoderma reesei</w:t>
      </w:r>
      <w:r w:rsidRPr="5058D6E4">
        <w:rPr>
          <w:rFonts w:ascii="Arial" w:hAnsi="Arial" w:cs="Arial"/>
          <w:lang w:val="en-AU"/>
        </w:rPr>
        <w:t xml:space="preserve"> containing the thermomycolin gene from </w:t>
      </w:r>
      <w:r w:rsidRPr="5058D6E4">
        <w:rPr>
          <w:rFonts w:ascii="Arial" w:hAnsi="Arial" w:cs="Arial"/>
          <w:i/>
          <w:iCs/>
          <w:lang w:val="en-AU"/>
        </w:rPr>
        <w:t>Malbranchea cinnamomea</w:t>
      </w:r>
      <w:r w:rsidRPr="5058D6E4">
        <w:rPr>
          <w:rFonts w:ascii="Arial" w:hAnsi="Arial" w:cs="Arial"/>
          <w:lang w:val="en-AU"/>
        </w:rPr>
        <w:t>,</w:t>
      </w:r>
      <w:r w:rsidRPr="5058D6E4">
        <w:rPr>
          <w:rFonts w:ascii="Arial" w:hAnsi="Arial" w:cs="Arial"/>
          <w:i/>
          <w:iCs/>
        </w:rPr>
        <w:t xml:space="preserve"> </w:t>
      </w:r>
      <w:r w:rsidRPr="5058D6E4">
        <w:rPr>
          <w:rFonts w:ascii="Arial" w:hAnsi="Arial" w:eastAsia="Calibri" w:cs="Arial"/>
        </w:rPr>
        <w:t xml:space="preserve">as a processing aid </w:t>
      </w:r>
      <w:r w:rsidRPr="003F64EC">
        <w:rPr>
          <w:rFonts w:ascii="Arial" w:hAnsi="Arial" w:cs="Arial"/>
        </w:rPr>
        <w:t xml:space="preserve">to catalyse the hydrolysis of peptide bonds during the manufacture and/or processing of meat, vegetable and seafood products. This permission </w:t>
      </w:r>
      <w:r w:rsidR="00366AB3">
        <w:rPr>
          <w:rFonts w:ascii="Arial" w:hAnsi="Arial" w:cs="Arial"/>
        </w:rPr>
        <w:t>is</w:t>
      </w:r>
      <w:r w:rsidRPr="003F64EC">
        <w:rPr>
          <w:rFonts w:ascii="Arial" w:hAnsi="Arial" w:cs="Arial"/>
        </w:rPr>
        <w:t xml:space="preserve"> </w:t>
      </w:r>
      <w:r w:rsidRPr="003F64EC">
        <w:rPr>
          <w:rFonts w:ascii="Arial" w:hAnsi="Arial" w:cs="Arial"/>
          <w:lang w:val="en-AU"/>
        </w:rPr>
        <w:t xml:space="preserve">subject to the condition that the </w:t>
      </w:r>
      <w:r w:rsidR="00366AB3">
        <w:rPr>
          <w:rFonts w:ascii="Arial" w:hAnsi="Arial" w:cs="Arial"/>
          <w:lang w:val="en-AU"/>
        </w:rPr>
        <w:t xml:space="preserve">maximum permitted level or </w:t>
      </w:r>
      <w:r w:rsidRPr="003F64EC">
        <w:rPr>
          <w:rFonts w:ascii="Arial" w:hAnsi="Arial" w:cs="Arial"/>
          <w:lang w:val="en-AU"/>
        </w:rPr>
        <w:t xml:space="preserve">amount of </w:t>
      </w:r>
      <w:r w:rsidR="00366AB3">
        <w:rPr>
          <w:rFonts w:ascii="Arial" w:hAnsi="Arial" w:cs="Arial"/>
          <w:lang w:val="en-AU"/>
        </w:rPr>
        <w:t xml:space="preserve">this </w:t>
      </w:r>
      <w:r w:rsidRPr="003F64EC">
        <w:rPr>
          <w:rFonts w:ascii="Arial" w:hAnsi="Arial" w:cs="Arial"/>
          <w:lang w:val="en-AU"/>
        </w:rPr>
        <w:t xml:space="preserve">enzyme </w:t>
      </w:r>
      <w:r w:rsidR="00366AB3">
        <w:rPr>
          <w:rFonts w:ascii="Arial" w:hAnsi="Arial" w:cs="Arial"/>
          <w:lang w:val="en-AU"/>
        </w:rPr>
        <w:t xml:space="preserve">that may be </w:t>
      </w:r>
      <w:r w:rsidRPr="003F64EC">
        <w:rPr>
          <w:rFonts w:ascii="Arial" w:hAnsi="Arial" w:cs="Arial"/>
          <w:lang w:val="en-AU"/>
        </w:rPr>
        <w:t xml:space="preserve">used </w:t>
      </w:r>
      <w:r w:rsidR="00366AB3">
        <w:rPr>
          <w:rFonts w:ascii="Arial" w:hAnsi="Arial" w:cs="Arial"/>
          <w:lang w:val="en-AU"/>
        </w:rPr>
        <w:t xml:space="preserve">in the food </w:t>
      </w:r>
      <w:r w:rsidRPr="003F64EC">
        <w:rPr>
          <w:rFonts w:ascii="Arial" w:hAnsi="Arial" w:cs="Arial"/>
          <w:lang w:val="en-AU"/>
        </w:rPr>
        <w:t xml:space="preserve">must be consistent with </w:t>
      </w:r>
      <w:r w:rsidR="00366AB3">
        <w:rPr>
          <w:rStyle w:val="normaltextrun"/>
          <w:rFonts w:ascii="Arial" w:hAnsi="Arial" w:cs="Arial"/>
          <w:color w:val="000000"/>
          <w:bdr w:val="none" w:color="auto" w:sz="0" w:space="0" w:frame="1"/>
        </w:rPr>
        <w:t>good manufacturing practice (</w:t>
      </w:r>
      <w:r w:rsidRPr="003F64EC">
        <w:rPr>
          <w:rFonts w:ascii="Arial" w:hAnsi="Arial" w:cs="Arial"/>
          <w:lang w:val="en-AU"/>
        </w:rPr>
        <w:t>GMP</w:t>
      </w:r>
      <w:r w:rsidR="00366AB3">
        <w:rPr>
          <w:rFonts w:ascii="Arial" w:hAnsi="Arial" w:cs="Arial"/>
          <w:lang w:val="en-AU"/>
        </w:rPr>
        <w:t>)</w:t>
      </w:r>
      <w:r w:rsidRPr="003F64EC">
        <w:rPr>
          <w:rFonts w:ascii="Arial" w:hAnsi="Arial" w:cs="Arial"/>
        </w:rPr>
        <w:t>.</w:t>
      </w:r>
    </w:p>
    <w:p w:rsidRPr="003F64EC" w:rsidR="003F64EC" w:rsidP="003F64EC" w:rsidRDefault="003F64EC" w14:paraId="75BC6F10" w14:textId="77777777">
      <w:pPr>
        <w:spacing w:after="0"/>
        <w:rPr>
          <w:rFonts w:ascii="Arial" w:hAnsi="Arial" w:cs="Arial"/>
          <w:b/>
          <w:lang w:val="en-AU" w:eastAsia="en-GB"/>
        </w:rPr>
      </w:pPr>
    </w:p>
    <w:p w:rsidRPr="003F64EC" w:rsidR="003F64EC" w:rsidP="003F64EC" w:rsidRDefault="003F64EC" w14:paraId="58FDA066" w14:textId="77777777">
      <w:pPr>
        <w:spacing w:after="0"/>
        <w:rPr>
          <w:rFonts w:ascii="Arial" w:hAnsi="Arial" w:cs="Arial"/>
          <w:b/>
          <w:lang w:val="en-AU" w:eastAsia="en-GB"/>
        </w:rPr>
      </w:pPr>
      <w:r w:rsidRPr="003F64EC">
        <w:rPr>
          <w:rFonts w:ascii="Arial" w:hAnsi="Arial" w:cs="Arial"/>
          <w:b/>
          <w:lang w:val="en-AU" w:eastAsia="en-GB"/>
        </w:rPr>
        <w:t>4.</w:t>
      </w:r>
      <w:r w:rsidRPr="003F64EC">
        <w:rPr>
          <w:rFonts w:ascii="Arial" w:hAnsi="Arial" w:cs="Arial"/>
          <w:b/>
          <w:lang w:val="en-AU" w:eastAsia="en-GB"/>
        </w:rPr>
        <w:tab/>
      </w:r>
      <w:r w:rsidRPr="003F64EC">
        <w:rPr>
          <w:rFonts w:ascii="Arial" w:hAnsi="Arial" w:cs="Arial"/>
          <w:b/>
          <w:lang w:val="en-AU" w:eastAsia="en-GB"/>
        </w:rPr>
        <w:t>Documents incorporated by reference</w:t>
      </w:r>
    </w:p>
    <w:p w:rsidRPr="003F64EC" w:rsidR="003F64EC" w:rsidP="003F64EC" w:rsidRDefault="003F64EC" w14:paraId="14FF5AB9" w14:textId="77777777">
      <w:pPr>
        <w:spacing w:after="0"/>
        <w:rPr>
          <w:rFonts w:ascii="Arial" w:hAnsi="Arial" w:cs="Arial"/>
          <w:lang w:val="en-AU" w:eastAsia="en-GB"/>
        </w:rPr>
      </w:pPr>
    </w:p>
    <w:p w:rsidRPr="003F64EC" w:rsidR="003F64EC" w:rsidP="5058D6E4" w:rsidRDefault="003F64EC" w14:paraId="234833BD" w14:textId="5EE4AE3D">
      <w:pPr>
        <w:autoSpaceDE w:val="0"/>
        <w:autoSpaceDN w:val="0"/>
        <w:adjustRightInd w:val="0"/>
        <w:spacing w:after="0"/>
        <w:rPr>
          <w:rFonts w:ascii="Arial" w:hAnsi="Arial" w:eastAsia="Calibri" w:cs="Arial"/>
          <w:lang w:val="en-AU"/>
        </w:rPr>
      </w:pPr>
      <w:r w:rsidRPr="5058D6E4">
        <w:rPr>
          <w:rFonts w:ascii="Arial" w:hAnsi="Arial" w:eastAsia="Calibri" w:cs="Arial"/>
          <w:lang w:val="en-AU"/>
        </w:rPr>
        <w:t xml:space="preserve">The </w:t>
      </w:r>
      <w:r w:rsidRPr="5058D6E4" w:rsidR="00366AB3">
        <w:rPr>
          <w:rFonts w:ascii="Arial" w:hAnsi="Arial" w:eastAsia="Calibri" w:cs="Arial"/>
          <w:lang w:val="en-AU"/>
        </w:rPr>
        <w:t xml:space="preserve">approved </w:t>
      </w:r>
      <w:r w:rsidRPr="5058D6E4">
        <w:rPr>
          <w:rFonts w:ascii="Arial" w:hAnsi="Arial" w:eastAsia="Calibri" w:cs="Arial"/>
          <w:lang w:val="en-AU"/>
        </w:rPr>
        <w:t>draft variation does not incorporate any documents by reference.</w:t>
      </w:r>
    </w:p>
    <w:p w:rsidRPr="003F64EC" w:rsidR="003F64EC" w:rsidP="003F64EC" w:rsidRDefault="003F64EC" w14:paraId="23F5ACE8" w14:textId="77777777">
      <w:pPr>
        <w:autoSpaceDE w:val="0"/>
        <w:autoSpaceDN w:val="0"/>
        <w:adjustRightInd w:val="0"/>
        <w:spacing w:after="0"/>
        <w:rPr>
          <w:rFonts w:ascii="Arial" w:hAnsi="Arial" w:eastAsia="Calibri" w:cs="Arial"/>
          <w:bCs/>
          <w:lang w:val="en-AU"/>
        </w:rPr>
      </w:pPr>
    </w:p>
    <w:p w:rsidRPr="003F64EC" w:rsidR="003F64EC" w:rsidP="5058D6E4" w:rsidRDefault="003F64EC" w14:paraId="22F7128E" w14:textId="3906CC27">
      <w:pPr>
        <w:autoSpaceDE w:val="0"/>
        <w:autoSpaceDN w:val="0"/>
        <w:adjustRightInd w:val="0"/>
        <w:spacing w:after="0"/>
        <w:rPr>
          <w:rFonts w:ascii="Arial" w:hAnsi="Arial" w:eastAsia="Calibri" w:cs="Arial"/>
          <w:lang w:val="en-AU"/>
        </w:rPr>
      </w:pPr>
      <w:r w:rsidRPr="5058D6E4">
        <w:rPr>
          <w:rFonts w:ascii="Arial" w:hAnsi="Arial" w:eastAsia="Calibri" w:cs="Arial"/>
          <w:lang w:val="en-AU"/>
        </w:rPr>
        <w:t xml:space="preserve">However, existing provisions of the Code incorporate documents by reference that will prescribe identity and purity specifications for the processing aid to be permitted by the </w:t>
      </w:r>
      <w:r w:rsidRPr="5058D6E4" w:rsidR="00366AB3">
        <w:rPr>
          <w:rFonts w:ascii="Arial" w:hAnsi="Arial" w:eastAsia="Calibri" w:cs="Arial"/>
          <w:lang w:val="en-AU"/>
        </w:rPr>
        <w:t xml:space="preserve">approved </w:t>
      </w:r>
      <w:r w:rsidRPr="5058D6E4">
        <w:rPr>
          <w:rFonts w:ascii="Arial" w:hAnsi="Arial" w:eastAsia="Calibri" w:cs="Arial"/>
          <w:lang w:val="en-AU"/>
        </w:rPr>
        <w:t>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specifications for enzyme preparations used in food processing.</w:t>
      </w:r>
    </w:p>
    <w:p w:rsidRPr="003F64EC" w:rsidR="003F64EC" w:rsidP="003F64EC" w:rsidRDefault="003F64EC" w14:paraId="7B8F95FE" w14:textId="77777777">
      <w:pPr>
        <w:spacing w:after="0"/>
        <w:rPr>
          <w:rFonts w:ascii="Arial" w:hAnsi="Arial" w:cs="Arial"/>
          <w:lang w:val="en-AU" w:eastAsia="en-GB"/>
        </w:rPr>
      </w:pPr>
    </w:p>
    <w:p w:rsidRPr="003F64EC" w:rsidR="003F64EC" w:rsidP="003F64EC" w:rsidRDefault="003F64EC" w14:paraId="4E7A2B42" w14:textId="77777777">
      <w:pPr>
        <w:spacing w:after="0"/>
        <w:rPr>
          <w:rFonts w:ascii="Arial" w:hAnsi="Arial" w:cs="Arial"/>
          <w:b/>
          <w:lang w:val="en-AU" w:eastAsia="en-GB"/>
        </w:rPr>
      </w:pPr>
      <w:r w:rsidRPr="003F64EC">
        <w:rPr>
          <w:rFonts w:ascii="Arial" w:hAnsi="Arial" w:cs="Arial"/>
          <w:b/>
          <w:lang w:val="en-AU" w:eastAsia="en-GB"/>
        </w:rPr>
        <w:t>5.</w:t>
      </w:r>
      <w:r w:rsidRPr="003F64EC">
        <w:rPr>
          <w:rFonts w:ascii="Arial" w:hAnsi="Arial" w:cs="Arial"/>
          <w:b/>
          <w:lang w:val="en-AU" w:eastAsia="en-GB"/>
        </w:rPr>
        <w:tab/>
      </w:r>
      <w:r w:rsidRPr="003F64EC">
        <w:rPr>
          <w:rFonts w:ascii="Arial" w:hAnsi="Arial" w:cs="Arial"/>
          <w:b/>
          <w:lang w:val="en-AU" w:eastAsia="en-GB"/>
        </w:rPr>
        <w:t>Consultation</w:t>
      </w:r>
    </w:p>
    <w:p w:rsidRPr="003F64EC" w:rsidR="003F64EC" w:rsidP="003F64EC" w:rsidRDefault="003F64EC" w14:paraId="3FDA51BA" w14:textId="77777777">
      <w:pPr>
        <w:spacing w:after="0"/>
        <w:rPr>
          <w:rFonts w:ascii="Arial" w:hAnsi="Arial" w:cs="Arial"/>
          <w:lang w:val="en-AU" w:eastAsia="en-GB"/>
        </w:rPr>
      </w:pPr>
    </w:p>
    <w:p w:rsidRPr="003F64EC" w:rsidR="003F64EC" w:rsidP="003F64EC" w:rsidRDefault="003F64EC" w14:paraId="357E22BD" w14:textId="23AECC03">
      <w:pPr>
        <w:spacing w:after="0"/>
        <w:rPr>
          <w:rFonts w:ascii="Arial" w:hAnsi="Arial" w:cs="Arial"/>
          <w:lang w:val="en-AU"/>
        </w:rPr>
      </w:pPr>
      <w:r w:rsidRPr="5058D6E4">
        <w:rPr>
          <w:rFonts w:ascii="Arial" w:hAnsi="Arial" w:cs="Arial"/>
        </w:rPr>
        <w:t xml:space="preserve">In accordance with the procedure in Division 1 of Part 3 of the FSANZ Act, </w:t>
      </w:r>
      <w:r w:rsidRPr="5058D6E4">
        <w:rPr>
          <w:rFonts w:ascii="Arial" w:hAnsi="Arial" w:eastAsia="Calibri" w:cs="Arial"/>
          <w:lang w:val="en-AU"/>
        </w:rPr>
        <w:t>the Authority</w:t>
      </w:r>
      <w:r w:rsidRPr="5058D6E4">
        <w:rPr>
          <w:rFonts w:ascii="Arial" w:hAnsi="Arial" w:cs="Arial"/>
        </w:rPr>
        <w:t xml:space="preserve">’s consideration of </w:t>
      </w:r>
      <w:r w:rsidRPr="5058D6E4" w:rsidR="00237B71">
        <w:rPr>
          <w:rFonts w:ascii="Arial" w:hAnsi="Arial" w:cs="Arial"/>
        </w:rPr>
        <w:t xml:space="preserve">Application </w:t>
      </w:r>
      <w:r w:rsidRPr="5058D6E4">
        <w:rPr>
          <w:rFonts w:ascii="Arial" w:hAnsi="Arial" w:cs="Arial"/>
        </w:rPr>
        <w:t>A1238 include</w:t>
      </w:r>
      <w:r w:rsidRPr="5058D6E4" w:rsidR="00366AB3">
        <w:rPr>
          <w:rFonts w:ascii="Arial" w:hAnsi="Arial" w:cs="Arial"/>
        </w:rPr>
        <w:t>d</w:t>
      </w:r>
      <w:r w:rsidRPr="5058D6E4">
        <w:rPr>
          <w:rFonts w:ascii="Arial" w:hAnsi="Arial" w:cs="Arial"/>
        </w:rPr>
        <w:t xml:space="preserve"> one round of public consultation following an assessment and the preparation of a draft variation and associated assessment summary. </w:t>
      </w:r>
      <w:r w:rsidRPr="5058D6E4" w:rsidR="00366AB3">
        <w:rPr>
          <w:rFonts w:ascii="Arial" w:hAnsi="Arial" w:cs="Arial"/>
        </w:rPr>
        <w:t>S</w:t>
      </w:r>
      <w:r w:rsidRPr="5058D6E4">
        <w:rPr>
          <w:rFonts w:ascii="Arial" w:hAnsi="Arial" w:cs="Arial"/>
        </w:rPr>
        <w:t xml:space="preserve">ubmissions </w:t>
      </w:r>
      <w:r w:rsidRPr="5058D6E4" w:rsidR="00366AB3">
        <w:rPr>
          <w:rFonts w:ascii="Arial" w:hAnsi="Arial" w:cs="Arial"/>
        </w:rPr>
        <w:t>were called for on</w:t>
      </w:r>
      <w:r w:rsidRPr="5058D6E4" w:rsidR="00AB7A67">
        <w:rPr>
          <w:rFonts w:ascii="Arial" w:hAnsi="Arial" w:cs="Arial"/>
        </w:rPr>
        <w:t xml:space="preserve"> 27 April 2022</w:t>
      </w:r>
      <w:r w:rsidRPr="5058D6E4" w:rsidR="00366AB3">
        <w:rPr>
          <w:rFonts w:ascii="Arial" w:hAnsi="Arial" w:cs="Arial"/>
        </w:rPr>
        <w:t xml:space="preserve"> </w:t>
      </w:r>
      <w:r w:rsidRPr="5058D6E4">
        <w:rPr>
          <w:rFonts w:ascii="Arial" w:hAnsi="Arial" w:cs="Arial"/>
        </w:rPr>
        <w:t>for a six-week consultation period.</w:t>
      </w:r>
    </w:p>
    <w:p w:rsidRPr="003F64EC" w:rsidR="003F64EC" w:rsidP="003F64EC" w:rsidRDefault="003F64EC" w14:paraId="43078227" w14:textId="77777777">
      <w:pPr>
        <w:spacing w:after="0"/>
        <w:rPr>
          <w:rFonts w:ascii="Arial" w:hAnsi="Arial" w:cs="Arial"/>
        </w:rPr>
      </w:pPr>
    </w:p>
    <w:p w:rsidRPr="003F64EC" w:rsidR="003F64EC" w:rsidP="5058D6E4" w:rsidRDefault="0D5E843F" w14:paraId="1218F5AD" w14:textId="08A934B8">
      <w:pPr>
        <w:spacing w:after="0"/>
        <w:rPr>
          <w:rFonts w:ascii="Arial" w:hAnsi="Arial" w:cs="Arial"/>
        </w:rPr>
      </w:pPr>
      <w:r w:rsidRPr="004E93E4">
        <w:rPr>
          <w:rFonts w:ascii="Arial" w:hAnsi="Arial" w:cs="Arial"/>
        </w:rPr>
        <w:t xml:space="preserve">The Office of Best Practice Regulation (OBPR) granted the Authority a standing exemption from the requirement to develop a Regulatory Impact Statement for applications relating to permitting new processing aids and genetically modified food (OBPR correspondence dated 24 November 2010 - reference 12065). This standing exemption was provided as permitting </w:t>
      </w:r>
      <w:r w:rsidRPr="004E93E4" w:rsidR="2A439D9F">
        <w:rPr>
          <w:rFonts w:ascii="Arial" w:hAnsi="Arial" w:cs="Arial"/>
        </w:rPr>
        <w:t xml:space="preserve">new processing aids and </w:t>
      </w:r>
      <w:r w:rsidRPr="004E93E4">
        <w:rPr>
          <w:rFonts w:ascii="Arial" w:hAnsi="Arial" w:cs="Arial"/>
        </w:rPr>
        <w:t xml:space="preserve">genetically modified foods is deregulatory as their use will be voluntary if the application concerned is approved. This standing exemption relates to the introduction of </w:t>
      </w:r>
      <w:bookmarkStart w:name="_Int_FXRO8Bj1" w:id="163"/>
      <w:r w:rsidRPr="004E93E4">
        <w:rPr>
          <w:rFonts w:ascii="Arial" w:hAnsi="Arial" w:cs="Arial"/>
        </w:rPr>
        <w:t>a food</w:t>
      </w:r>
      <w:bookmarkEnd w:id="163"/>
      <w:r w:rsidRPr="004E93E4">
        <w:rPr>
          <w:rFonts w:ascii="Arial" w:hAnsi="Arial" w:cs="Arial"/>
        </w:rPr>
        <w:t xml:space="preserve"> to the food supply that has been determined to be safe.</w:t>
      </w:r>
    </w:p>
    <w:p w:rsidRPr="003F64EC" w:rsidR="003F64EC" w:rsidP="003F64EC" w:rsidRDefault="003F64EC" w14:paraId="6295A9B7" w14:textId="77777777">
      <w:pPr>
        <w:spacing w:after="0"/>
        <w:rPr>
          <w:rFonts w:ascii="Arial" w:hAnsi="Arial" w:cs="Arial"/>
          <w:b/>
          <w:bCs/>
          <w:lang w:val="en-AU"/>
        </w:rPr>
      </w:pPr>
    </w:p>
    <w:p w:rsidRPr="003F64EC" w:rsidR="003F64EC" w:rsidP="003F64EC" w:rsidRDefault="003F64EC" w14:paraId="229CB058" w14:textId="77777777">
      <w:pPr>
        <w:spacing w:after="0"/>
        <w:rPr>
          <w:rFonts w:ascii="Arial" w:hAnsi="Arial" w:cs="Arial"/>
          <w:b/>
          <w:bCs/>
          <w:lang w:val="en-AU"/>
        </w:rPr>
      </w:pPr>
      <w:r w:rsidRPr="003F64EC">
        <w:rPr>
          <w:rFonts w:ascii="Arial" w:hAnsi="Arial" w:cs="Arial"/>
          <w:b/>
          <w:bCs/>
          <w:lang w:val="en-AU"/>
        </w:rPr>
        <w:t>6.</w:t>
      </w:r>
      <w:r w:rsidRPr="003F64EC">
        <w:rPr>
          <w:rFonts w:ascii="Arial" w:hAnsi="Arial" w:cs="Arial"/>
          <w:b/>
          <w:bCs/>
          <w:lang w:val="en-AU"/>
        </w:rPr>
        <w:tab/>
      </w:r>
      <w:r w:rsidRPr="003F64EC">
        <w:rPr>
          <w:rFonts w:ascii="Arial" w:hAnsi="Arial" w:cs="Arial"/>
          <w:b/>
          <w:bCs/>
          <w:lang w:val="en-AU"/>
        </w:rPr>
        <w:t>Statement of compatibility with human rights</w:t>
      </w:r>
    </w:p>
    <w:p w:rsidRPr="003F64EC" w:rsidR="003F64EC" w:rsidP="003F64EC" w:rsidRDefault="003F64EC" w14:paraId="7025D1CB" w14:textId="77777777">
      <w:pPr>
        <w:spacing w:after="0"/>
        <w:rPr>
          <w:rFonts w:ascii="Arial" w:hAnsi="Arial" w:cs="Arial"/>
          <w:lang w:val="en-AU"/>
        </w:rPr>
      </w:pPr>
    </w:p>
    <w:p w:rsidR="003F64EC" w:rsidP="003F64EC" w:rsidRDefault="00AB7A67" w14:paraId="75EE50EE" w14:textId="78809DF7">
      <w:pPr>
        <w:spacing w:after="0"/>
        <w:rPr>
          <w:rFonts w:ascii="Arial" w:hAnsi="Arial" w:cs="Arial"/>
          <w:lang w:val="en-AU"/>
        </w:rPr>
      </w:pPr>
      <w:r w:rsidRPr="5058D6E4">
        <w:rPr>
          <w:rFonts w:ascii="Arial" w:hAnsi="Arial" w:cs="Arial"/>
          <w:lang w:val="en-AU"/>
        </w:rPr>
        <w:t>T</w:t>
      </w:r>
      <w:r w:rsidRPr="5058D6E4" w:rsidR="003F64EC">
        <w:rPr>
          <w:rFonts w:ascii="Arial" w:hAnsi="Arial" w:cs="Arial"/>
          <w:lang w:val="en-AU"/>
        </w:rPr>
        <w:t xml:space="preserve">his instrument </w:t>
      </w:r>
      <w:r w:rsidRPr="5058D6E4">
        <w:rPr>
          <w:rFonts w:ascii="Arial" w:hAnsi="Arial" w:cs="Arial"/>
          <w:lang w:val="en-AU"/>
        </w:rPr>
        <w:t>is</w:t>
      </w:r>
      <w:r w:rsidRPr="5058D6E4" w:rsidR="003F64EC">
        <w:rPr>
          <w:rFonts w:ascii="Arial" w:hAnsi="Arial" w:cs="Arial"/>
          <w:lang w:val="en-AU"/>
        </w:rPr>
        <w:t xml:space="preserve"> exempt from the requirements for a statement of compatibility with human rights as it </w:t>
      </w:r>
      <w:r w:rsidRPr="5058D6E4">
        <w:rPr>
          <w:rFonts w:ascii="Arial" w:hAnsi="Arial" w:cs="Arial"/>
          <w:lang w:val="en-AU"/>
        </w:rPr>
        <w:t xml:space="preserve">is </w:t>
      </w:r>
      <w:r w:rsidRPr="5058D6E4" w:rsidR="003F64EC">
        <w:rPr>
          <w:rFonts w:ascii="Arial" w:hAnsi="Arial" w:cs="Arial"/>
          <w:lang w:val="en-AU"/>
        </w:rPr>
        <w:t xml:space="preserve">a non-disallowable instrument under section 44 of the </w:t>
      </w:r>
      <w:r w:rsidRPr="5058D6E4" w:rsidR="003F64EC">
        <w:rPr>
          <w:rFonts w:ascii="Arial" w:hAnsi="Arial" w:cs="Arial"/>
          <w:i/>
          <w:iCs/>
          <w:lang w:val="en-AU"/>
        </w:rPr>
        <w:t>Legislation Act 2003</w:t>
      </w:r>
      <w:r w:rsidRPr="5058D6E4" w:rsidR="003F64EC">
        <w:rPr>
          <w:rFonts w:ascii="Arial" w:hAnsi="Arial" w:cs="Arial"/>
          <w:lang w:val="en-AU"/>
        </w:rPr>
        <w:t>.</w:t>
      </w:r>
    </w:p>
    <w:p w:rsidRPr="003F64EC" w:rsidR="00AB7A67" w:rsidP="003F64EC" w:rsidRDefault="00AB7A67" w14:paraId="7E86208D" w14:textId="77777777">
      <w:pPr>
        <w:spacing w:after="0"/>
        <w:rPr>
          <w:rFonts w:ascii="Arial" w:hAnsi="Arial" w:cs="Arial"/>
          <w:lang w:val="en-AU"/>
        </w:rPr>
      </w:pPr>
    </w:p>
    <w:p w:rsidRPr="003F64EC" w:rsidR="003F64EC" w:rsidP="003F64EC" w:rsidRDefault="003F64EC" w14:paraId="6A828870" w14:textId="77777777">
      <w:pPr>
        <w:spacing w:after="0"/>
        <w:rPr>
          <w:rFonts w:ascii="Arial" w:hAnsi="Arial" w:cs="Arial"/>
          <w:b/>
          <w:lang w:val="en-AU" w:eastAsia="en-GB"/>
        </w:rPr>
      </w:pPr>
      <w:r w:rsidRPr="003F64EC">
        <w:rPr>
          <w:rFonts w:ascii="Arial" w:hAnsi="Arial" w:cs="Arial"/>
          <w:b/>
        </w:rPr>
        <w:t>7.</w:t>
      </w:r>
      <w:r w:rsidRPr="003F64EC">
        <w:rPr>
          <w:rFonts w:ascii="Arial" w:hAnsi="Arial" w:cs="Arial"/>
          <w:b/>
        </w:rPr>
        <w:tab/>
      </w:r>
      <w:r w:rsidRPr="003F64EC">
        <w:rPr>
          <w:rFonts w:ascii="Arial" w:hAnsi="Arial" w:cs="Arial"/>
          <w:b/>
          <w:lang w:val="en-AU" w:eastAsia="en-GB"/>
        </w:rPr>
        <w:t>Variation</w:t>
      </w:r>
    </w:p>
    <w:p w:rsidRPr="003F64EC" w:rsidR="003F64EC" w:rsidP="003F64EC" w:rsidRDefault="003F64EC" w14:paraId="2CB92A86" w14:textId="77777777">
      <w:pPr>
        <w:spacing w:after="0"/>
        <w:rPr>
          <w:rFonts w:ascii="Arial" w:hAnsi="Arial" w:cs="Arial"/>
          <w:b/>
        </w:rPr>
      </w:pPr>
    </w:p>
    <w:p w:rsidRPr="003F64EC" w:rsidR="003F64EC" w:rsidP="003F64EC" w:rsidRDefault="003F64EC" w14:paraId="56A1177E" w14:textId="49889F8F">
      <w:pPr>
        <w:spacing w:after="0"/>
        <w:rPr>
          <w:rFonts w:ascii="Arial" w:hAnsi="Arial" w:cs="Arial"/>
        </w:rPr>
      </w:pPr>
      <w:r w:rsidRPr="5058D6E4">
        <w:rPr>
          <w:rFonts w:ascii="Arial" w:hAnsi="Arial" w:cs="Arial"/>
        </w:rPr>
        <w:t xml:space="preserve">Item [1] of the </w:t>
      </w:r>
      <w:r w:rsidRPr="5058D6E4" w:rsidR="00AB7A67">
        <w:rPr>
          <w:rFonts w:ascii="Arial" w:hAnsi="Arial" w:cs="Arial"/>
        </w:rPr>
        <w:t xml:space="preserve">Schedule to the </w:t>
      </w:r>
      <w:r w:rsidRPr="5058D6E4">
        <w:rPr>
          <w:rFonts w:ascii="Arial" w:hAnsi="Arial" w:cs="Arial"/>
        </w:rPr>
        <w:t>draft variation insert</w:t>
      </w:r>
      <w:r w:rsidRPr="5058D6E4" w:rsidR="00AB7A67">
        <w:rPr>
          <w:rFonts w:ascii="Arial" w:hAnsi="Arial" w:cs="Arial"/>
        </w:rPr>
        <w:t>s</w:t>
      </w:r>
      <w:r w:rsidRPr="5058D6E4" w:rsidR="00994A66">
        <w:rPr>
          <w:rFonts w:ascii="Arial" w:hAnsi="Arial" w:cs="Arial"/>
        </w:rPr>
        <w:t>, in alphabetical order,</w:t>
      </w:r>
      <w:r w:rsidRPr="5058D6E4">
        <w:rPr>
          <w:rFonts w:ascii="Arial" w:hAnsi="Arial" w:cs="Arial"/>
        </w:rPr>
        <w:t xml:space="preserve"> a new entry into the table to subsection S18—9(3) in Schedule 18. The new entry consist</w:t>
      </w:r>
      <w:r w:rsidRPr="5058D6E4" w:rsidR="00994A66">
        <w:rPr>
          <w:rFonts w:ascii="Arial" w:hAnsi="Arial" w:cs="Arial"/>
        </w:rPr>
        <w:t>s</w:t>
      </w:r>
      <w:r w:rsidRPr="5058D6E4">
        <w:rPr>
          <w:rFonts w:ascii="Arial" w:hAnsi="Arial" w:cs="Arial"/>
        </w:rPr>
        <w:t xml:space="preserve"> of the following enzyme:</w:t>
      </w:r>
    </w:p>
    <w:p w:rsidRPr="003F64EC" w:rsidR="003F64EC" w:rsidP="003F64EC" w:rsidRDefault="003F64EC" w14:paraId="7D0F1B2E" w14:textId="77777777">
      <w:pPr>
        <w:spacing w:after="0"/>
        <w:rPr>
          <w:rFonts w:ascii="Arial" w:hAnsi="Arial" w:cs="Arial"/>
        </w:rPr>
      </w:pPr>
    </w:p>
    <w:p w:rsidRPr="003F64EC" w:rsidR="003F64EC" w:rsidP="00A82D8E" w:rsidRDefault="003F64EC" w14:paraId="4792AED1" w14:textId="31CE2B9F">
      <w:pPr>
        <w:pStyle w:val="ListParagraph"/>
        <w:widowControl w:val="0"/>
        <w:numPr>
          <w:ilvl w:val="0"/>
          <w:numId w:val="10"/>
        </w:numPr>
        <w:spacing w:after="0" w:line="240" w:lineRule="auto"/>
        <w:rPr>
          <w:rFonts w:ascii="Arial" w:hAnsi="Arial" w:cs="Arial"/>
        </w:rPr>
      </w:pPr>
      <w:r w:rsidRPr="5058D6E4">
        <w:rPr>
          <w:rFonts w:ascii="Arial" w:hAnsi="Arial" w:cs="Arial"/>
        </w:rPr>
        <w:t xml:space="preserve">‘Thermomycolin (EC 3.4.21.65) sourced from </w:t>
      </w:r>
      <w:r w:rsidRPr="5058D6E4">
        <w:rPr>
          <w:rFonts w:ascii="Arial" w:hAnsi="Arial" w:cs="Arial"/>
          <w:i/>
          <w:iCs/>
        </w:rPr>
        <w:t>Trichoderma reesei</w:t>
      </w:r>
      <w:r w:rsidRPr="5058D6E4">
        <w:rPr>
          <w:rFonts w:ascii="Arial" w:hAnsi="Arial" w:cs="Arial"/>
        </w:rPr>
        <w:t xml:space="preserve"> containing the thermomycolin gene from </w:t>
      </w:r>
      <w:r w:rsidRPr="5058D6E4">
        <w:rPr>
          <w:rFonts w:ascii="Arial" w:hAnsi="Arial" w:cs="Arial"/>
          <w:i/>
          <w:iCs/>
        </w:rPr>
        <w:t>Malbranchea cinnamomea</w:t>
      </w:r>
      <w:r w:rsidRPr="5058D6E4">
        <w:rPr>
          <w:rFonts w:ascii="Arial" w:hAnsi="Arial" w:cs="Arial"/>
        </w:rPr>
        <w:t>’</w:t>
      </w:r>
      <w:r w:rsidRPr="5058D6E4" w:rsidR="00A82D8E">
        <w:rPr>
          <w:rFonts w:ascii="Arial" w:hAnsi="Arial" w:cs="Arial"/>
        </w:rPr>
        <w:t xml:space="preserve"> (column 1 of the table)</w:t>
      </w:r>
      <w:r w:rsidRPr="5058D6E4" w:rsidR="00AB7A67">
        <w:rPr>
          <w:rFonts w:ascii="Arial" w:hAnsi="Arial" w:cs="Arial"/>
        </w:rPr>
        <w:t>.</w:t>
      </w:r>
    </w:p>
    <w:p w:rsidRPr="003F64EC" w:rsidR="003F64EC" w:rsidP="003F64EC" w:rsidRDefault="003F64EC" w14:paraId="6149728C" w14:textId="77777777">
      <w:pPr>
        <w:spacing w:after="0"/>
        <w:rPr>
          <w:rFonts w:ascii="Arial" w:hAnsi="Arial" w:cs="Arial"/>
        </w:rPr>
      </w:pPr>
    </w:p>
    <w:p w:rsidRPr="003F64EC" w:rsidR="003F64EC" w:rsidP="003F64EC" w:rsidRDefault="0D5E843F" w14:paraId="59BC50E8" w14:textId="367FEB8D">
      <w:pPr>
        <w:spacing w:after="0"/>
        <w:rPr>
          <w:rFonts w:ascii="Arial" w:hAnsi="Arial" w:cs="Arial"/>
        </w:rPr>
      </w:pPr>
      <w:r w:rsidRPr="004E93E4">
        <w:rPr>
          <w:rFonts w:ascii="Arial" w:hAnsi="Arial" w:cs="Arial"/>
        </w:rPr>
        <w:t xml:space="preserve">The </w:t>
      </w:r>
      <w:r w:rsidRPr="004E93E4" w:rsidR="23411AD6">
        <w:rPr>
          <w:rFonts w:ascii="Arial" w:hAnsi="Arial" w:cs="Arial"/>
        </w:rPr>
        <w:t xml:space="preserve">permitted </w:t>
      </w:r>
      <w:r w:rsidRPr="004E93E4">
        <w:rPr>
          <w:rFonts w:ascii="Arial" w:hAnsi="Arial" w:cs="Arial"/>
        </w:rPr>
        <w:t xml:space="preserve">technological purpose for this enzyme </w:t>
      </w:r>
      <w:r w:rsidRPr="004E93E4" w:rsidR="23411AD6">
        <w:rPr>
          <w:rFonts w:ascii="Arial" w:hAnsi="Arial" w:cs="Arial"/>
        </w:rPr>
        <w:t xml:space="preserve">is </w:t>
      </w:r>
      <w:bookmarkStart w:name="_Int_suawcm2h" w:id="164"/>
      <w:r w:rsidRPr="004E93E4" w:rsidR="23411AD6">
        <w:rPr>
          <w:rFonts w:ascii="Arial" w:hAnsi="Arial" w:cs="Arial"/>
        </w:rPr>
        <w:t>use</w:t>
      </w:r>
      <w:bookmarkEnd w:id="164"/>
      <w:r w:rsidRPr="004E93E4" w:rsidR="23411AD6">
        <w:rPr>
          <w:rFonts w:ascii="Arial" w:hAnsi="Arial" w:cs="Arial"/>
        </w:rPr>
        <w:t xml:space="preserve"> as a processing aid</w:t>
      </w:r>
      <w:r w:rsidRPr="004E93E4">
        <w:rPr>
          <w:rFonts w:ascii="Arial" w:hAnsi="Arial" w:cs="Arial"/>
        </w:rPr>
        <w:t xml:space="preserve"> to catalyse the hydrolysis of peptide bonds during the </w:t>
      </w:r>
      <w:r w:rsidRPr="004E93E4">
        <w:rPr>
          <w:rFonts w:ascii="Arial" w:hAnsi="Arial" w:eastAsia="Calibri" w:cs="Arial"/>
          <w:lang w:val="en-AU"/>
        </w:rPr>
        <w:t>manufacture and/or processing of meat, vegetable and seafood products</w:t>
      </w:r>
      <w:r w:rsidRPr="004E93E4" w:rsidR="4C2DC1E2">
        <w:rPr>
          <w:rFonts w:ascii="Arial" w:hAnsi="Arial" w:eastAsia="Calibri" w:cs="Arial"/>
          <w:lang w:val="en-AU"/>
        </w:rPr>
        <w:t xml:space="preserve"> (column 2 of the table)</w:t>
      </w:r>
      <w:r w:rsidRPr="004E93E4">
        <w:rPr>
          <w:rFonts w:ascii="Arial" w:hAnsi="Arial" w:cs="Arial"/>
        </w:rPr>
        <w:t>.</w:t>
      </w:r>
    </w:p>
    <w:p w:rsidRPr="003F64EC" w:rsidR="003F64EC" w:rsidP="003F64EC" w:rsidRDefault="003F64EC" w14:paraId="2878AB46" w14:textId="77777777">
      <w:pPr>
        <w:spacing w:after="0"/>
        <w:rPr>
          <w:rFonts w:ascii="Arial" w:hAnsi="Arial" w:eastAsia="Calibri" w:cs="Arial"/>
          <w:bCs/>
          <w:lang w:val="en-AU"/>
        </w:rPr>
      </w:pPr>
    </w:p>
    <w:p w:rsidRPr="003F64EC" w:rsidR="003F64EC" w:rsidP="003F64EC" w:rsidRDefault="003F64EC" w14:paraId="384F71D9" w14:textId="366C788C">
      <w:pPr>
        <w:spacing w:after="0"/>
        <w:rPr>
          <w:rFonts w:ascii="Arial" w:hAnsi="Arial" w:cs="Arial"/>
        </w:rPr>
      </w:pPr>
      <w:r w:rsidRPr="5058D6E4">
        <w:rPr>
          <w:rFonts w:ascii="Arial" w:hAnsi="Arial" w:eastAsia="Calibri" w:cs="Arial"/>
          <w:lang w:val="en-AU"/>
        </w:rPr>
        <w:t xml:space="preserve">The permission </w:t>
      </w:r>
      <w:r w:rsidRPr="5058D6E4" w:rsidR="00AB7A67">
        <w:rPr>
          <w:rFonts w:ascii="Arial" w:hAnsi="Arial" w:eastAsia="Calibri" w:cs="Arial"/>
          <w:lang w:val="en-AU"/>
        </w:rPr>
        <w:t>is</w:t>
      </w:r>
      <w:r w:rsidRPr="5058D6E4">
        <w:rPr>
          <w:rFonts w:ascii="Arial" w:hAnsi="Arial" w:eastAsia="Calibri" w:cs="Arial"/>
          <w:lang w:val="en-AU"/>
        </w:rPr>
        <w:t xml:space="preserve"> subject to the condition</w:t>
      </w:r>
      <w:r w:rsidRPr="5058D6E4">
        <w:rPr>
          <w:rFonts w:ascii="Arial" w:hAnsi="Arial" w:cs="Arial"/>
          <w:lang w:eastAsia="en-GB"/>
        </w:rPr>
        <w:t xml:space="preserve"> </w:t>
      </w:r>
      <w:r w:rsidRPr="5058D6E4">
        <w:rPr>
          <w:rFonts w:ascii="Arial" w:hAnsi="Arial" w:cs="Arial"/>
        </w:rPr>
        <w:t xml:space="preserve">that the maximum permitted level or amount of this enzyme that may be present in the food must be consistent with </w:t>
      </w:r>
      <w:r w:rsidRPr="5058D6E4" w:rsidR="00AB7A67">
        <w:rPr>
          <w:rFonts w:ascii="Arial" w:hAnsi="Arial" w:cs="Arial"/>
        </w:rPr>
        <w:t>GMP</w:t>
      </w:r>
      <w:r w:rsidRPr="5058D6E4" w:rsidR="00A82D8E">
        <w:rPr>
          <w:rFonts w:ascii="Arial" w:hAnsi="Arial" w:cs="Arial"/>
        </w:rPr>
        <w:t xml:space="preserve"> (column 3 of the table)</w:t>
      </w:r>
      <w:r w:rsidRPr="5058D6E4">
        <w:rPr>
          <w:rFonts w:ascii="Arial" w:hAnsi="Arial" w:eastAsia="Calibri" w:cs="Arial"/>
          <w:lang w:val="en-AU"/>
        </w:rPr>
        <w:t>.</w:t>
      </w:r>
    </w:p>
    <w:p w:rsidRPr="003F64EC" w:rsidR="003F64EC" w:rsidP="003F64EC" w:rsidRDefault="003F64EC" w14:paraId="5ACF6E5E" w14:textId="77777777">
      <w:pPr>
        <w:spacing w:after="0"/>
        <w:rPr>
          <w:rFonts w:ascii="Arial" w:hAnsi="Arial" w:cs="Arial"/>
        </w:rPr>
      </w:pPr>
    </w:p>
    <w:p w:rsidRPr="003F64EC" w:rsidR="003F64EC" w:rsidP="003F64EC" w:rsidRDefault="00AB7A67" w14:paraId="62C9F280" w14:textId="1A773BC4">
      <w:pPr>
        <w:spacing w:after="0"/>
        <w:rPr>
          <w:rFonts w:ascii="Arial" w:hAnsi="Arial" w:cs="Arial"/>
        </w:rPr>
      </w:pPr>
      <w:r w:rsidRPr="3D6DFEE1">
        <w:rPr>
          <w:rFonts w:ascii="Arial" w:hAnsi="Arial" w:cs="Arial"/>
        </w:rPr>
        <w:t>T</w:t>
      </w:r>
      <w:r w:rsidRPr="3D6DFEE1" w:rsidR="003F64EC">
        <w:rPr>
          <w:rFonts w:ascii="Arial" w:hAnsi="Arial" w:cs="Arial"/>
        </w:rPr>
        <w:t>he variation permit</w:t>
      </w:r>
      <w:r w:rsidRPr="3D6DFEE1">
        <w:rPr>
          <w:rFonts w:ascii="Arial" w:hAnsi="Arial" w:cs="Arial"/>
        </w:rPr>
        <w:t>s</w:t>
      </w:r>
      <w:r w:rsidRPr="3D6DFEE1" w:rsidR="003F64EC">
        <w:rPr>
          <w:rFonts w:ascii="Arial" w:hAnsi="Arial" w:cs="Arial"/>
        </w:rPr>
        <w:t xml:space="preserve"> the proposed use of </w:t>
      </w:r>
      <w:r w:rsidRPr="3D6DFEE1">
        <w:rPr>
          <w:rFonts w:ascii="Arial" w:hAnsi="Arial" w:cs="Arial"/>
        </w:rPr>
        <w:t xml:space="preserve">the enzyme, </w:t>
      </w:r>
      <w:r w:rsidRPr="3D6DFEE1" w:rsidR="003F64EC">
        <w:rPr>
          <w:rFonts w:ascii="Arial" w:hAnsi="Arial" w:cs="Arial"/>
        </w:rPr>
        <w:t xml:space="preserve">thermomycolin (EC 3.4.21.65) sourced from </w:t>
      </w:r>
      <w:r w:rsidRPr="3D6DFEE1" w:rsidR="003F64EC">
        <w:rPr>
          <w:rFonts w:ascii="Arial" w:hAnsi="Arial" w:cs="Arial"/>
          <w:i/>
          <w:iCs/>
        </w:rPr>
        <w:t>Trichoderma reesei</w:t>
      </w:r>
      <w:r w:rsidRPr="3D6DFEE1" w:rsidR="003F64EC">
        <w:rPr>
          <w:rFonts w:ascii="Arial" w:hAnsi="Arial" w:cs="Arial"/>
        </w:rPr>
        <w:t xml:space="preserve"> containing the thermomycolin gene from </w:t>
      </w:r>
      <w:r w:rsidRPr="3D6DFEE1" w:rsidR="003F64EC">
        <w:rPr>
          <w:rFonts w:ascii="Arial" w:hAnsi="Arial" w:cs="Arial"/>
          <w:i/>
          <w:iCs/>
        </w:rPr>
        <w:t>Malbranchea cinnamomea</w:t>
      </w:r>
      <w:r w:rsidRPr="3D6DFEE1" w:rsidR="003F64EC">
        <w:rPr>
          <w:rFonts w:ascii="Arial" w:hAnsi="Arial" w:eastAsia="Calibri" w:cs="Arial"/>
          <w:lang w:val="en-AU"/>
        </w:rPr>
        <w:t xml:space="preserve"> as a processing aid in accordance with the Code.</w:t>
      </w:r>
    </w:p>
    <w:p w:rsidRPr="003F64EC" w:rsidR="003F64EC" w:rsidP="003F64EC" w:rsidRDefault="003F64EC" w14:paraId="7868F6FB" w14:textId="77777777">
      <w:pPr>
        <w:spacing w:after="0"/>
        <w:rPr>
          <w:rFonts w:ascii="Arial" w:hAnsi="Arial" w:cs="Arial"/>
        </w:rPr>
      </w:pPr>
    </w:p>
    <w:bookmarkEnd w:id="160"/>
    <w:bookmarkEnd w:id="161"/>
    <w:p w:rsidRPr="003F64EC" w:rsidR="00E26D23" w:rsidP="00E26D23" w:rsidRDefault="00E26D23" w14:paraId="5B22B62B" w14:textId="77777777">
      <w:pPr>
        <w:widowControl w:val="0"/>
        <w:spacing w:after="0" w:line="240" w:lineRule="auto"/>
        <w:rPr>
          <w:rFonts w:ascii="Arial" w:hAnsi="Arial" w:eastAsia="Times New Roman" w:cs="Arial"/>
          <w:lang w:val="en-GB" w:bidi="en-US"/>
        </w:rPr>
      </w:pPr>
    </w:p>
    <w:sectPr w:rsidRPr="003F64EC" w:rsidR="00E26D23" w:rsidSect="00E26D23">
      <w:pgSz w:w="11906" w:h="16838" w:code="9"/>
      <w:pgMar w:top="1418" w:right="1418" w:bottom="1418" w:left="1418"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1462FB" w16cex:dateUtc="2022-08-03T23:15:51.504Z"/>
  <w16cex:commentExtensible w16cex:durableId="0E914BD3" w16cex:dateUtc="2022-08-04T21:30:18.99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B1" w:rsidP="0020726F" w:rsidRDefault="003750B1" w14:paraId="034BA74F" w14:textId="77777777">
      <w:pPr>
        <w:spacing w:after="0" w:line="240" w:lineRule="auto"/>
      </w:pPr>
      <w:r>
        <w:separator/>
      </w:r>
    </w:p>
  </w:endnote>
  <w:endnote w:type="continuationSeparator" w:id="0">
    <w:p w:rsidR="003750B1" w:rsidP="0020726F" w:rsidRDefault="003750B1" w14:paraId="1FDD6007" w14:textId="77777777">
      <w:pPr>
        <w:spacing w:after="0" w:line="240" w:lineRule="auto"/>
      </w:pPr>
      <w:r>
        <w:continuationSeparator/>
      </w:r>
    </w:p>
  </w:endnote>
  <w:endnote w:type="continuationNotice" w:id="1">
    <w:p w:rsidR="003750B1" w:rsidRDefault="003750B1" w14:paraId="0E8432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07" w:rsidP="00153F55" w:rsidRDefault="00494B07" w14:paraId="580E197B" w14:textId="3B854742">
    <w:pPr>
      <w:pStyle w:val="Footer"/>
      <w:framePr w:wrap="around" w:hAnchor="margin" w:vAnchor="text"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rsidR="00494B07" w:rsidP="006169F6" w:rsidRDefault="00494B07" w14:paraId="2FF46E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B579A"/>
        <w:shd w:val="clear" w:color="auto" w:fill="E6E6E6"/>
      </w:rPr>
      <w:id w:val="-640497913"/>
      <w:docPartObj>
        <w:docPartGallery w:val="Page Numbers (Bottom of Page)"/>
        <w:docPartUnique/>
      </w:docPartObj>
    </w:sdtPr>
    <w:sdtEndPr>
      <w:rPr>
        <w:noProof/>
        <w:color w:val="auto"/>
        <w:shd w:val="clear" w:color="auto" w:fill="auto"/>
      </w:rPr>
    </w:sdtEndPr>
    <w:sdtContent>
      <w:p w:rsidR="00494B07" w:rsidP="00E26D23" w:rsidRDefault="00494B07" w14:paraId="7CD48BDB" w14:textId="0363DA0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D06E0">
          <w:rPr>
            <w:noProof/>
          </w:rPr>
          <w:t>i</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B1" w:rsidP="0020726F" w:rsidRDefault="003750B1" w14:paraId="05075716" w14:textId="77777777">
      <w:pPr>
        <w:spacing w:after="0" w:line="240" w:lineRule="auto"/>
      </w:pPr>
      <w:r>
        <w:separator/>
      </w:r>
    </w:p>
  </w:footnote>
  <w:footnote w:type="continuationSeparator" w:id="0">
    <w:p w:rsidR="003750B1" w:rsidP="0020726F" w:rsidRDefault="003750B1" w14:paraId="17D4F31D" w14:textId="77777777">
      <w:pPr>
        <w:spacing w:after="0" w:line="240" w:lineRule="auto"/>
      </w:pPr>
      <w:r>
        <w:continuationSeparator/>
      </w:r>
    </w:p>
  </w:footnote>
  <w:footnote w:type="continuationNotice" w:id="1">
    <w:p w:rsidR="003750B1" w:rsidRDefault="003750B1" w14:paraId="31FF7301" w14:textId="77777777">
      <w:pPr>
        <w:spacing w:after="0" w:line="240" w:lineRule="auto"/>
      </w:pPr>
    </w:p>
  </w:footnote>
  <w:footnote w:id="2">
    <w:p w:rsidRPr="00274250" w:rsidR="00494B07" w:rsidRDefault="00494B07" w14:paraId="3981E460" w14:textId="63BD1CCD">
      <w:pPr>
        <w:pStyle w:val="FootnoteText"/>
        <w:rPr>
          <w:lang w:val="en-AU"/>
        </w:rPr>
      </w:pPr>
      <w:r>
        <w:rPr>
          <w:rStyle w:val="FootnoteReference"/>
        </w:rPr>
        <w:footnoteRef/>
      </w:r>
      <w:r>
        <w:t xml:space="preserve"> </w:t>
      </w:r>
      <w:r w:rsidRPr="00CB316D">
        <w:rPr>
          <w:b/>
          <w:i/>
          <w:sz w:val="18"/>
          <w:szCs w:val="18"/>
          <w:lang w:val="en-AU"/>
        </w:rPr>
        <w:t>Required name</w:t>
      </w:r>
      <w:r w:rsidRPr="00CB316D">
        <w:rPr>
          <w:sz w:val="18"/>
          <w:szCs w:val="18"/>
          <w:lang w:val="en-AU"/>
        </w:rPr>
        <w:t>, of a particular food, means the name declared by section 1.2.3—5 as the required name for that food for the purposes of Division 3 of Standard 1.2.3.</w:t>
      </w:r>
    </w:p>
  </w:footnote>
  <w:footnote w:id="3">
    <w:p w:rsidRPr="00053786" w:rsidR="00494B07" w:rsidP="0020726F" w:rsidRDefault="00494B07" w14:paraId="124E87E3" w14:textId="7D1C4383">
      <w:pPr>
        <w:pStyle w:val="FootnoteText"/>
        <w:rPr>
          <w:lang w:val="en-AU"/>
        </w:rPr>
      </w:pPr>
      <w:r>
        <w:rPr>
          <w:rStyle w:val="FootnoteReference"/>
          <w:rFonts w:eastAsiaTheme="majorEastAsia"/>
        </w:rPr>
        <w:footnoteRef/>
      </w:r>
      <w:r>
        <w:t xml:space="preserve"> </w:t>
      </w:r>
      <w:r>
        <w:rPr>
          <w:sz w:val="18"/>
          <w:szCs w:val="18"/>
        </w:rPr>
        <w:t>On 25 February 2021 new requirements for the labelling of allergens were introduced in the Code and s</w:t>
      </w:r>
      <w:r w:rsidRPr="005D4682">
        <w:rPr>
          <w:sz w:val="18"/>
          <w:szCs w:val="18"/>
        </w:rPr>
        <w:t>uppliers have until 25 February 2024 to change over to these new requirements</w:t>
      </w:r>
      <w:r>
        <w:rPr>
          <w:sz w:val="18"/>
          <w:szCs w:val="18"/>
        </w:rPr>
        <w:t>. If a food was packaged and labelled before 25 February 2024 and it complied with the previous allergen labelling requirements, then that food can remain on sale for another two years as long as it complies with the rest of the Code.</w:t>
      </w:r>
    </w:p>
  </w:footnote>
  <w:footnote w:id="4">
    <w:p w:rsidR="00494B07" w:rsidP="0020726F" w:rsidRDefault="00494B07" w14:paraId="1C86D9EA" w14:textId="77777777">
      <w:pPr>
        <w:pStyle w:val="FootnoteText"/>
        <w:rPr>
          <w:sz w:val="18"/>
          <w:szCs w:val="18"/>
        </w:rPr>
      </w:pPr>
      <w:r>
        <w:rPr>
          <w:rStyle w:val="FootnoteReference"/>
          <w:rFonts w:eastAsiaTheme="majorEastAsia"/>
        </w:rPr>
        <w:footnoteRef/>
      </w:r>
      <w:r>
        <w:t xml:space="preserve"> </w:t>
      </w:r>
      <w:r>
        <w:rPr>
          <w:sz w:val="18"/>
          <w:szCs w:val="18"/>
        </w:rPr>
        <w:t xml:space="preserve">Section 1.5.2—4(5) defines </w:t>
      </w:r>
      <w:r>
        <w:rPr>
          <w:b/>
          <w:i/>
          <w:sz w:val="18"/>
          <w:szCs w:val="18"/>
        </w:rPr>
        <w:t>genetically modified food</w:t>
      </w:r>
      <w:r>
        <w:rPr>
          <w:sz w:val="18"/>
          <w:szCs w:val="18"/>
        </w:rPr>
        <w:t xml:space="preserve"> to mean a *food produced using gene technology that </w:t>
      </w:r>
    </w:p>
    <w:p w:rsidR="00494B07" w:rsidP="0020726F" w:rsidRDefault="00494B07" w14:paraId="7C62B401" w14:textId="77777777">
      <w:pPr>
        <w:pStyle w:val="FootnoteText"/>
        <w:numPr>
          <w:ilvl w:val="0"/>
          <w:numId w:val="4"/>
        </w:numPr>
        <w:rPr>
          <w:sz w:val="18"/>
          <w:szCs w:val="18"/>
        </w:rPr>
      </w:pPr>
      <w:r>
        <w:rPr>
          <w:sz w:val="18"/>
          <w:szCs w:val="18"/>
        </w:rPr>
        <w:t>contains novel DNA or novel protein; or</w:t>
      </w:r>
    </w:p>
    <w:p w:rsidR="00494B07" w:rsidP="0020726F" w:rsidRDefault="00494B07" w14:paraId="71A08DEF" w14:textId="77777777">
      <w:pPr>
        <w:pStyle w:val="FootnoteText"/>
        <w:numPr>
          <w:ilvl w:val="0"/>
          <w:numId w:val="4"/>
        </w:numPr>
        <w:rPr>
          <w:iCs/>
          <w:sz w:val="18"/>
          <w:szCs w:val="18"/>
        </w:rPr>
      </w:pPr>
      <w:r>
        <w:rPr>
          <w:iCs/>
          <w:sz w:val="18"/>
          <w:szCs w:val="18"/>
        </w:rPr>
        <w:t>is listed in Section S26—3 as subject to the condition that its labelling must comply with this section” (</w:t>
      </w:r>
      <w:r>
        <w:rPr>
          <w:i/>
          <w:iCs/>
          <w:sz w:val="18"/>
          <w:szCs w:val="18"/>
        </w:rPr>
        <w:t>that being section 1.5.2—4</w:t>
      </w:r>
      <w:r>
        <w:rPr>
          <w:iCs/>
          <w:sz w:val="18"/>
          <w:szCs w:val="18"/>
        </w:rPr>
        <w:t>).</w:t>
      </w:r>
    </w:p>
    <w:p w:rsidR="00494B07" w:rsidP="0020726F" w:rsidRDefault="00494B07" w14:paraId="37720887" w14:textId="77777777">
      <w:pPr>
        <w:pStyle w:val="FootnoteText"/>
        <w:rPr>
          <w:lang w:val="en-AU"/>
        </w:rPr>
      </w:pPr>
    </w:p>
  </w:footnote>
  <w:footnote w:id="5">
    <w:p w:rsidR="00494B07" w:rsidP="007E0C60" w:rsidRDefault="00494B07" w14:paraId="0E9DB8EF" w14:textId="77777777">
      <w:pPr>
        <w:pStyle w:val="FootnoteText"/>
        <w:rPr>
          <w:lang w:val="en-AU"/>
        </w:rPr>
      </w:pPr>
      <w:r>
        <w:rPr>
          <w:rStyle w:val="FootnoteReference"/>
          <w:rFonts w:eastAsiaTheme="majorEastAsia"/>
        </w:rPr>
        <w:footnoteRef/>
      </w:r>
      <w:r>
        <w:t xml:space="preserve"> </w:t>
      </w:r>
      <w:r>
        <w:rPr>
          <w:sz w:val="18"/>
          <w:szCs w:val="18"/>
        </w:rPr>
        <w:t>Food produced using gene technology’ is defined in subsection 1.1.2—2(3) as meaning ‘a food which has been derived or developed from an organism which has been modified by gene technology’</w:t>
      </w:r>
      <w:r>
        <w:t>.</w:t>
      </w:r>
    </w:p>
  </w:footnote>
  <w:footnote w:id="6">
    <w:p w:rsidRPr="002A62E4" w:rsidR="00494B07" w:rsidRDefault="00494B07" w14:paraId="05DACEC4" w14:textId="76A2EB8C">
      <w:pPr>
        <w:pStyle w:val="FootnoteText"/>
        <w:rPr>
          <w:lang w:val="en-AU"/>
        </w:rPr>
      </w:pPr>
      <w:r>
        <w:rPr>
          <w:rStyle w:val="FootnoteReference"/>
        </w:rPr>
        <w:footnoteRef/>
      </w:r>
      <w:r>
        <w:t xml:space="preserve"> </w:t>
      </w:r>
      <w:r>
        <w:rPr>
          <w:rStyle w:val="normaltextrun"/>
          <w:rFonts w:cs="Arial"/>
          <w:color w:val="000000"/>
          <w:sz w:val="18"/>
          <w:szCs w:val="18"/>
          <w:shd w:val="clear" w:color="auto" w:fill="FFFFFF"/>
        </w:rPr>
        <w:t>Available on the </w:t>
      </w:r>
      <w:hyperlink w:tgtFrame="_blank" w:history="1" r:id="rId1">
        <w:r>
          <w:rPr>
            <w:rStyle w:val="normaltextrun"/>
            <w:rFonts w:cs="Arial"/>
            <w:color w:val="3333FF"/>
            <w:sz w:val="18"/>
            <w:szCs w:val="18"/>
            <w:u w:val="single"/>
            <w:shd w:val="clear" w:color="auto" w:fill="FFFFFF"/>
          </w:rPr>
          <w:t>Food regulation website</w:t>
        </w:r>
      </w:hyperlink>
      <w:r>
        <w:rPr>
          <w:rStyle w:val="normaltextrun"/>
          <w:rFonts w:cs="Arial"/>
          <w:color w:val="000000"/>
          <w:sz w:val="18"/>
          <w:szCs w:val="18"/>
          <w:shd w:val="clear" w:color="auto" w:fill="FFFFFF"/>
        </w:rPr>
        <w:t>.</w:t>
      </w:r>
    </w:p>
  </w:footnote>
  <w:footnote w:id="7">
    <w:p w:rsidRPr="00AB7A67" w:rsidR="00494B07" w:rsidRDefault="00494B07" w14:paraId="1705AE97" w14:textId="65A84554">
      <w:pPr>
        <w:pStyle w:val="FootnoteText"/>
        <w:rPr>
          <w:lang w:val="en-AU"/>
        </w:rPr>
      </w:pPr>
      <w:r>
        <w:rPr>
          <w:rStyle w:val="FootnoteReference"/>
        </w:rPr>
        <w:footnoteRef/>
      </w:r>
      <w:r>
        <w:t xml:space="preserve"> </w:t>
      </w:r>
      <w:r>
        <w:rPr>
          <w:rStyle w:val="normaltextrun"/>
          <w:rFonts w:cs="Arial"/>
          <w:color w:val="000000"/>
          <w:sz w:val="18"/>
          <w:szCs w:val="18"/>
          <w:shd w:val="clear" w:color="auto" w:fill="FFFFFF"/>
        </w:rPr>
        <w:t>Formerly referred to as the Australia and New Zealand Ministerial Forum on Food Regulation</w:t>
      </w:r>
      <w:r>
        <w:rPr>
          <w:rStyle w:val="normaltextrun"/>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07" w:rsidRDefault="00494B07" w14:paraId="12777F91" w14:textId="19A1B326">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YZvGHRa8sj9h7G" int2:id="Z8n9b1Om">
      <int2:state int2:type="LegacyProofing" int2:value="Rejected"/>
    </int2:textHash>
    <int2:textHash int2:hashCode="55xYhcpJcgltIO" int2:id="Y60utuSr">
      <int2:state int2:type="LegacyProofing" int2:value="Rejected"/>
    </int2:textHash>
    <int2:textHash int2:hashCode="pz2QIEqb0rZQkg" int2:id="6wZ5MDGq">
      <int2:state int2:type="LegacyProofing" int2:value="Rejected"/>
    </int2:textHash>
    <int2:textHash int2:hashCode="wtKSqYmrO8qHMS" int2:id="aVQHZtmS">
      <int2:state int2:type="LegacyProofing" int2:value="Rejected"/>
    </int2:textHash>
    <int2:textHash int2:hashCode="hN6B5b8f/AaH/i" int2:id="I8v7mlX7">
      <int2:state int2:type="LegacyProofing" int2:value="Rejected"/>
    </int2:textHash>
    <int2:textHash int2:hashCode="BC3EUS+j05HFFw" int2:id="24VFUVqp">
      <int2:state int2:type="LegacyProofing" int2:value="Rejected"/>
    </int2:textHash>
    <int2:textHash int2:hashCode="QVr9XGMXepFLVK" int2:id="WWp6WgET">
      <int2:state int2:type="LegacyProofing" int2:value="Rejected"/>
    </int2:textHash>
    <int2:textHash int2:hashCode="FP0/FbqyDZW7ey" int2:id="Pm19jlZH">
      <int2:state int2:type="LegacyProofing" int2:value="Rejected"/>
    </int2:textHash>
    <int2:textHash int2:hashCode="6zOOyStuzF5YE5" int2:id="Npcuw1Kj">
      <int2:state int2:type="LegacyProofing" int2:value="Rejected"/>
    </int2:textHash>
    <int2:textHash int2:hashCode="M7m+XZMjQXDRwM" int2:id="kvUMASD8">
      <int2:state int2:type="LegacyProofing" int2:value="Rejected"/>
    </int2:textHash>
    <int2:textHash int2:hashCode="uMWlah6SoXLKCn" int2:id="5zxYGhV8">
      <int2:state int2:type="LegacyProofing" int2:value="Rejected"/>
    </int2:textHash>
    <int2:textHash int2:hashCode="8TqQXzd255Kc3z" int2:id="jmisfwsk">
      <int2:state int2:type="AugLoop_Text_Critique" int2:value="Rejected"/>
    </int2:textHash>
    <int2:textHash int2:hashCode="5XDRCdvPuC+WfK" int2:id="NmKeEUQU">
      <int2:state int2:type="LegacyProofing" int2:value="Rejected"/>
    </int2:textHash>
    <int2:textHash int2:hashCode="En3RosNkvg9s7a" int2:id="xIreGKFq">
      <int2:state int2:type="AugLoop_Text_Critique" int2:value="Rejected"/>
    </int2:textHash>
    <int2:textHash int2:hashCode="zPP62SlBaP6nuI" int2:id="o40UpdaH">
      <int2:state int2:type="LegacyProofing" int2:value="Rejected"/>
    </int2:textHash>
    <int2:textHash int2:hashCode="m57e+aI8pzQmYB" int2:id="NeGf5zRb">
      <int2:state int2:type="LegacyProofing" int2:value="Rejected"/>
    </int2:textHash>
    <int2:textHash int2:hashCode="iM7+cju1bxjomG" int2:id="0fMnpH36">
      <int2:state int2:type="LegacyProofing" int2:value="Rejected"/>
    </int2:textHash>
    <int2:textHash int2:hashCode="V8H0vR85108FI0" int2:id="4mE67aZH">
      <int2:state int2:type="LegacyProofing" int2:value="Rejected"/>
    </int2:textHash>
    <int2:textHash int2:hashCode="C4du83pIROJDSN" int2:id="OlkHOCvw">
      <int2:state int2:type="LegacyProofing" int2:value="Rejected"/>
    </int2:textHash>
    <int2:bookmark int2:bookmarkName="_Int_Q4UmC7JB" int2:invalidationBookmarkName="" int2:hashCode="f1OmjTJDRvyEV6" int2:id="LKs6PxTo">
      <int2:state int2:type="LegacyProofing" int2:value="Rejected"/>
    </int2:bookmark>
    <int2:bookmark int2:bookmarkName="_Int_DcuhYED5" int2:invalidationBookmarkName="" int2:hashCode="f1OmjTJDRvyEV6" int2:id="9GUFdImM">
      <int2:state int2:type="LegacyProofing" int2:value="Rejected"/>
    </int2:bookmark>
    <int2:bookmark int2:bookmarkName="_Int_nhUJRjju" int2:invalidationBookmarkName="" int2:hashCode="LDoO9u9DFubl0c" int2:id="egmU3WVy">
      <int2:state int2:type="LegacyProofing" int2:value="Rejected"/>
    </int2:bookmark>
    <int2:bookmark int2:bookmarkName="_Int_8ByP6d4P" int2:invalidationBookmarkName="" int2:hashCode="LDoO9u9DFubl0c" int2:id="KzZNtwyM">
      <int2:state int2:type="LegacyProofing" int2:value="Rejected"/>
    </int2:bookmark>
    <int2:bookmark int2:bookmarkName="_Int_QI5ckJYj" int2:invalidationBookmarkName="" int2:hashCode="oB4z9Nzba6Gunz" int2:id="jdQA3TNr">
      <int2:state int2:type="LegacyProofing" int2:value="Rejected"/>
    </int2:bookmark>
    <int2:bookmark int2:bookmarkName="_Int_suawcm2h" int2:invalidationBookmarkName="" int2:hashCode="BEiaEruqauv/th" int2:id="KxbahaxE">
      <int2:state int2:type="LegacyProofing" int2:value="Rejected"/>
    </int2:bookmark>
    <int2:bookmark int2:bookmarkName="_Int_FXRO8Bj1" int2:invalidationBookmarkName="" int2:hashCode="E/DusPefeVHhuX" int2:id="sf6nRcXx">
      <int2:state int2:type="LegacyProofing" int2:value="Rejected"/>
    </int2:bookmark>
    <int2:bookmark int2:bookmarkName="_Int_CDhft5cU" int2:invalidationBookmarkName="" int2:hashCode="1H3SM57GfFWLbV" int2:id="mg2BuaSk">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550E33"/>
    <w:multiLevelType w:val="hybridMultilevel"/>
    <w:tmpl w:val="F13C54F0"/>
    <w:lvl w:ilvl="0" w:tplc="91086C80">
      <w:start w:val="1"/>
      <w:numFmt w:val="lowerLetter"/>
      <w:lvlText w:val="(%1)"/>
      <w:lvlJc w:val="left"/>
      <w:pPr>
        <w:ind w:left="1200" w:hanging="4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17A4F814"/>
    <w:multiLevelType w:val="hybridMultilevel"/>
    <w:tmpl w:val="1C58B3FA"/>
    <w:lvl w:ilvl="0" w:tplc="35B85688">
      <w:start w:val="1"/>
      <w:numFmt w:val="bullet"/>
      <w:lvlText w:val=""/>
      <w:lvlJc w:val="left"/>
      <w:pPr>
        <w:ind w:left="720" w:hanging="360"/>
      </w:pPr>
      <w:rPr>
        <w:rFonts w:hint="default" w:ascii="Symbol" w:hAnsi="Symbol"/>
      </w:rPr>
    </w:lvl>
    <w:lvl w:ilvl="1" w:tplc="F850D328">
      <w:start w:val="1"/>
      <w:numFmt w:val="bullet"/>
      <w:lvlText w:val="o"/>
      <w:lvlJc w:val="left"/>
      <w:pPr>
        <w:ind w:left="1440" w:hanging="360"/>
      </w:pPr>
      <w:rPr>
        <w:rFonts w:hint="default" w:ascii="Courier New" w:hAnsi="Courier New"/>
      </w:rPr>
    </w:lvl>
    <w:lvl w:ilvl="2" w:tplc="3B1ABF80">
      <w:start w:val="1"/>
      <w:numFmt w:val="bullet"/>
      <w:lvlText w:val=""/>
      <w:lvlJc w:val="left"/>
      <w:pPr>
        <w:ind w:left="2160" w:hanging="360"/>
      </w:pPr>
      <w:rPr>
        <w:rFonts w:hint="default" w:ascii="Wingdings" w:hAnsi="Wingdings"/>
      </w:rPr>
    </w:lvl>
    <w:lvl w:ilvl="3" w:tplc="282C9116">
      <w:start w:val="1"/>
      <w:numFmt w:val="bullet"/>
      <w:lvlText w:val=""/>
      <w:lvlJc w:val="left"/>
      <w:pPr>
        <w:ind w:left="2880" w:hanging="360"/>
      </w:pPr>
      <w:rPr>
        <w:rFonts w:hint="default" w:ascii="Symbol" w:hAnsi="Symbol"/>
      </w:rPr>
    </w:lvl>
    <w:lvl w:ilvl="4" w:tplc="A2BC9622">
      <w:start w:val="1"/>
      <w:numFmt w:val="bullet"/>
      <w:lvlText w:val="o"/>
      <w:lvlJc w:val="left"/>
      <w:pPr>
        <w:ind w:left="3600" w:hanging="360"/>
      </w:pPr>
      <w:rPr>
        <w:rFonts w:hint="default" w:ascii="Courier New" w:hAnsi="Courier New"/>
      </w:rPr>
    </w:lvl>
    <w:lvl w:ilvl="5" w:tplc="38BC08A2">
      <w:start w:val="1"/>
      <w:numFmt w:val="bullet"/>
      <w:lvlText w:val=""/>
      <w:lvlJc w:val="left"/>
      <w:pPr>
        <w:ind w:left="4320" w:hanging="360"/>
      </w:pPr>
      <w:rPr>
        <w:rFonts w:hint="default" w:ascii="Wingdings" w:hAnsi="Wingdings"/>
      </w:rPr>
    </w:lvl>
    <w:lvl w:ilvl="6" w:tplc="7C903D2E">
      <w:start w:val="1"/>
      <w:numFmt w:val="bullet"/>
      <w:lvlText w:val=""/>
      <w:lvlJc w:val="left"/>
      <w:pPr>
        <w:ind w:left="5040" w:hanging="360"/>
      </w:pPr>
      <w:rPr>
        <w:rFonts w:hint="default" w:ascii="Symbol" w:hAnsi="Symbol"/>
      </w:rPr>
    </w:lvl>
    <w:lvl w:ilvl="7" w:tplc="8480820C">
      <w:start w:val="1"/>
      <w:numFmt w:val="bullet"/>
      <w:lvlText w:val="o"/>
      <w:lvlJc w:val="left"/>
      <w:pPr>
        <w:ind w:left="5760" w:hanging="360"/>
      </w:pPr>
      <w:rPr>
        <w:rFonts w:hint="default" w:ascii="Courier New" w:hAnsi="Courier New"/>
      </w:rPr>
    </w:lvl>
    <w:lvl w:ilvl="8" w:tplc="71566ADE">
      <w:start w:val="1"/>
      <w:numFmt w:val="bullet"/>
      <w:lvlText w:val=""/>
      <w:lvlJc w:val="left"/>
      <w:pPr>
        <w:ind w:left="6480" w:hanging="360"/>
      </w:pPr>
      <w:rPr>
        <w:rFonts w:hint="default" w:ascii="Wingdings" w:hAnsi="Wingdings"/>
      </w:rPr>
    </w:lvl>
  </w:abstractNum>
  <w:abstractNum w:abstractNumId="3" w15:restartNumberingAfterBreak="0">
    <w:nsid w:val="18693076"/>
    <w:multiLevelType w:val="hybridMultilevel"/>
    <w:tmpl w:val="BB4A8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ADD7BF"/>
    <w:multiLevelType w:val="hybridMultilevel"/>
    <w:tmpl w:val="9A32FF82"/>
    <w:lvl w:ilvl="0" w:tplc="BB70572E">
      <w:start w:val="1"/>
      <w:numFmt w:val="bullet"/>
      <w:lvlText w:val=""/>
      <w:lvlJc w:val="left"/>
      <w:pPr>
        <w:ind w:left="720" w:hanging="360"/>
      </w:pPr>
      <w:rPr>
        <w:rFonts w:hint="default" w:ascii="Symbol" w:hAnsi="Symbol"/>
      </w:rPr>
    </w:lvl>
    <w:lvl w:ilvl="1" w:tplc="F3A6C0BE">
      <w:start w:val="1"/>
      <w:numFmt w:val="bullet"/>
      <w:lvlText w:val="o"/>
      <w:lvlJc w:val="left"/>
      <w:pPr>
        <w:ind w:left="1440" w:hanging="360"/>
      </w:pPr>
      <w:rPr>
        <w:rFonts w:hint="default" w:ascii="Courier New" w:hAnsi="Courier New"/>
      </w:rPr>
    </w:lvl>
    <w:lvl w:ilvl="2" w:tplc="E236DA4E">
      <w:start w:val="1"/>
      <w:numFmt w:val="bullet"/>
      <w:lvlText w:val=""/>
      <w:lvlJc w:val="left"/>
      <w:pPr>
        <w:ind w:left="2160" w:hanging="360"/>
      </w:pPr>
      <w:rPr>
        <w:rFonts w:hint="default" w:ascii="Wingdings" w:hAnsi="Wingdings"/>
      </w:rPr>
    </w:lvl>
    <w:lvl w:ilvl="3" w:tplc="83B2ABCE">
      <w:start w:val="1"/>
      <w:numFmt w:val="bullet"/>
      <w:lvlText w:val=""/>
      <w:lvlJc w:val="left"/>
      <w:pPr>
        <w:ind w:left="2880" w:hanging="360"/>
      </w:pPr>
      <w:rPr>
        <w:rFonts w:hint="default" w:ascii="Symbol" w:hAnsi="Symbol"/>
      </w:rPr>
    </w:lvl>
    <w:lvl w:ilvl="4" w:tplc="7122BA48">
      <w:start w:val="1"/>
      <w:numFmt w:val="bullet"/>
      <w:lvlText w:val="o"/>
      <w:lvlJc w:val="left"/>
      <w:pPr>
        <w:ind w:left="3600" w:hanging="360"/>
      </w:pPr>
      <w:rPr>
        <w:rFonts w:hint="default" w:ascii="Courier New" w:hAnsi="Courier New"/>
      </w:rPr>
    </w:lvl>
    <w:lvl w:ilvl="5" w:tplc="FC5E65C2">
      <w:start w:val="1"/>
      <w:numFmt w:val="bullet"/>
      <w:lvlText w:val=""/>
      <w:lvlJc w:val="left"/>
      <w:pPr>
        <w:ind w:left="4320" w:hanging="360"/>
      </w:pPr>
      <w:rPr>
        <w:rFonts w:hint="default" w:ascii="Wingdings" w:hAnsi="Wingdings"/>
      </w:rPr>
    </w:lvl>
    <w:lvl w:ilvl="6" w:tplc="601456E4">
      <w:start w:val="1"/>
      <w:numFmt w:val="bullet"/>
      <w:lvlText w:val=""/>
      <w:lvlJc w:val="left"/>
      <w:pPr>
        <w:ind w:left="5040" w:hanging="360"/>
      </w:pPr>
      <w:rPr>
        <w:rFonts w:hint="default" w:ascii="Symbol" w:hAnsi="Symbol"/>
      </w:rPr>
    </w:lvl>
    <w:lvl w:ilvl="7" w:tplc="F1CCC484">
      <w:start w:val="1"/>
      <w:numFmt w:val="bullet"/>
      <w:lvlText w:val="o"/>
      <w:lvlJc w:val="left"/>
      <w:pPr>
        <w:ind w:left="5760" w:hanging="360"/>
      </w:pPr>
      <w:rPr>
        <w:rFonts w:hint="default" w:ascii="Courier New" w:hAnsi="Courier New"/>
      </w:rPr>
    </w:lvl>
    <w:lvl w:ilvl="8" w:tplc="9028B3DC">
      <w:start w:val="1"/>
      <w:numFmt w:val="bullet"/>
      <w:lvlText w:val=""/>
      <w:lvlJc w:val="left"/>
      <w:pPr>
        <w:ind w:left="6480" w:hanging="360"/>
      </w:pPr>
      <w:rPr>
        <w:rFonts w:hint="default" w:ascii="Wingdings" w:hAnsi="Wingdings"/>
      </w:rPr>
    </w:lvl>
  </w:abstractNum>
  <w:abstractNum w:abstractNumId="5" w15:restartNumberingAfterBreak="0">
    <w:nsid w:val="21CB18EF"/>
    <w:multiLevelType w:val="hybridMultilevel"/>
    <w:tmpl w:val="85E8A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6745D4"/>
    <w:multiLevelType w:val="multilevel"/>
    <w:tmpl w:val="3C329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1A0377"/>
    <w:multiLevelType w:val="multilevel"/>
    <w:tmpl w:val="26ECA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FD33E8"/>
    <w:multiLevelType w:val="hybridMultilevel"/>
    <w:tmpl w:val="03A2BFAE"/>
    <w:lvl w:ilvl="0" w:tplc="F31AED10">
      <w:start w:val="1"/>
      <w:numFmt w:val="bullet"/>
      <w:pStyle w:val="FSBullet1"/>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FB420E6"/>
    <w:multiLevelType w:val="hybridMultilevel"/>
    <w:tmpl w:val="9D3CA58E"/>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CBD36CE"/>
    <w:multiLevelType w:val="hybridMultilevel"/>
    <w:tmpl w:val="7FA69D36"/>
    <w:lvl w:ilvl="0" w:tplc="0388B4F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A0401C7"/>
    <w:multiLevelType w:val="hybridMultilevel"/>
    <w:tmpl w:val="D5DE6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123451"/>
    <w:multiLevelType w:val="hybridMultilevel"/>
    <w:tmpl w:val="9ECC7ED2"/>
    <w:lvl w:ilvl="0" w:tplc="DDAA662C">
      <w:start w:val="1"/>
      <w:numFmt w:val="bullet"/>
      <w:lvlText w:val=""/>
      <w:lvlJc w:val="left"/>
      <w:pPr>
        <w:ind w:left="720" w:hanging="360"/>
      </w:pPr>
      <w:rPr>
        <w:rFonts w:hint="default" w:ascii="Symbol" w:hAnsi="Symbol"/>
      </w:rPr>
    </w:lvl>
    <w:lvl w:ilvl="1" w:tplc="282ECB12">
      <w:start w:val="1"/>
      <w:numFmt w:val="bullet"/>
      <w:lvlText w:val="o"/>
      <w:lvlJc w:val="left"/>
      <w:pPr>
        <w:ind w:left="1440" w:hanging="360"/>
      </w:pPr>
      <w:rPr>
        <w:rFonts w:hint="default" w:ascii="Courier New" w:hAnsi="Courier New"/>
      </w:rPr>
    </w:lvl>
    <w:lvl w:ilvl="2" w:tplc="2EE09B88">
      <w:start w:val="1"/>
      <w:numFmt w:val="bullet"/>
      <w:lvlText w:val=""/>
      <w:lvlJc w:val="left"/>
      <w:pPr>
        <w:ind w:left="2160" w:hanging="360"/>
      </w:pPr>
      <w:rPr>
        <w:rFonts w:hint="default" w:ascii="Wingdings" w:hAnsi="Wingdings"/>
      </w:rPr>
    </w:lvl>
    <w:lvl w:ilvl="3" w:tplc="2FFC40E2">
      <w:start w:val="1"/>
      <w:numFmt w:val="bullet"/>
      <w:lvlText w:val=""/>
      <w:lvlJc w:val="left"/>
      <w:pPr>
        <w:ind w:left="2880" w:hanging="360"/>
      </w:pPr>
      <w:rPr>
        <w:rFonts w:hint="default" w:ascii="Symbol" w:hAnsi="Symbol"/>
      </w:rPr>
    </w:lvl>
    <w:lvl w:ilvl="4" w:tplc="B066B4E6">
      <w:start w:val="1"/>
      <w:numFmt w:val="bullet"/>
      <w:lvlText w:val="o"/>
      <w:lvlJc w:val="left"/>
      <w:pPr>
        <w:ind w:left="3600" w:hanging="360"/>
      </w:pPr>
      <w:rPr>
        <w:rFonts w:hint="default" w:ascii="Courier New" w:hAnsi="Courier New"/>
      </w:rPr>
    </w:lvl>
    <w:lvl w:ilvl="5" w:tplc="63FC37A8">
      <w:start w:val="1"/>
      <w:numFmt w:val="bullet"/>
      <w:lvlText w:val=""/>
      <w:lvlJc w:val="left"/>
      <w:pPr>
        <w:ind w:left="4320" w:hanging="360"/>
      </w:pPr>
      <w:rPr>
        <w:rFonts w:hint="default" w:ascii="Wingdings" w:hAnsi="Wingdings"/>
      </w:rPr>
    </w:lvl>
    <w:lvl w:ilvl="6" w:tplc="95E4B4B8">
      <w:start w:val="1"/>
      <w:numFmt w:val="bullet"/>
      <w:lvlText w:val=""/>
      <w:lvlJc w:val="left"/>
      <w:pPr>
        <w:ind w:left="5040" w:hanging="360"/>
      </w:pPr>
      <w:rPr>
        <w:rFonts w:hint="default" w:ascii="Symbol" w:hAnsi="Symbol"/>
      </w:rPr>
    </w:lvl>
    <w:lvl w:ilvl="7" w:tplc="7CDC7324">
      <w:start w:val="1"/>
      <w:numFmt w:val="bullet"/>
      <w:lvlText w:val="o"/>
      <w:lvlJc w:val="left"/>
      <w:pPr>
        <w:ind w:left="5760" w:hanging="360"/>
      </w:pPr>
      <w:rPr>
        <w:rFonts w:hint="default" w:ascii="Courier New" w:hAnsi="Courier New"/>
      </w:rPr>
    </w:lvl>
    <w:lvl w:ilvl="8" w:tplc="A510C506">
      <w:start w:val="1"/>
      <w:numFmt w:val="bullet"/>
      <w:lvlText w:val=""/>
      <w:lvlJc w:val="left"/>
      <w:pPr>
        <w:ind w:left="6480" w:hanging="360"/>
      </w:pPr>
      <w:rPr>
        <w:rFonts w:hint="default" w:ascii="Wingdings" w:hAnsi="Wingdings"/>
      </w:rPr>
    </w:lvl>
  </w:abstractNum>
  <w:abstractNum w:abstractNumId="13" w15:restartNumberingAfterBreak="0">
    <w:nsid w:val="6F0AB309"/>
    <w:multiLevelType w:val="hybridMultilevel"/>
    <w:tmpl w:val="2862B076"/>
    <w:lvl w:ilvl="0" w:tplc="16669AC4">
      <w:start w:val="1"/>
      <w:numFmt w:val="bullet"/>
      <w:lvlText w:val=""/>
      <w:lvlJc w:val="left"/>
      <w:pPr>
        <w:ind w:left="720" w:hanging="360"/>
      </w:pPr>
      <w:rPr>
        <w:rFonts w:hint="default" w:ascii="Symbol" w:hAnsi="Symbol"/>
      </w:rPr>
    </w:lvl>
    <w:lvl w:ilvl="1" w:tplc="BFC21A7A">
      <w:start w:val="1"/>
      <w:numFmt w:val="bullet"/>
      <w:lvlText w:val="o"/>
      <w:lvlJc w:val="left"/>
      <w:pPr>
        <w:ind w:left="1440" w:hanging="360"/>
      </w:pPr>
      <w:rPr>
        <w:rFonts w:hint="default" w:ascii="Courier New" w:hAnsi="Courier New"/>
      </w:rPr>
    </w:lvl>
    <w:lvl w:ilvl="2" w:tplc="2FC892FE">
      <w:start w:val="1"/>
      <w:numFmt w:val="bullet"/>
      <w:lvlText w:val=""/>
      <w:lvlJc w:val="left"/>
      <w:pPr>
        <w:ind w:left="2160" w:hanging="360"/>
      </w:pPr>
      <w:rPr>
        <w:rFonts w:hint="default" w:ascii="Wingdings" w:hAnsi="Wingdings"/>
      </w:rPr>
    </w:lvl>
    <w:lvl w:ilvl="3" w:tplc="C0A2A1B2">
      <w:start w:val="1"/>
      <w:numFmt w:val="bullet"/>
      <w:lvlText w:val=""/>
      <w:lvlJc w:val="left"/>
      <w:pPr>
        <w:ind w:left="2880" w:hanging="360"/>
      </w:pPr>
      <w:rPr>
        <w:rFonts w:hint="default" w:ascii="Symbol" w:hAnsi="Symbol"/>
      </w:rPr>
    </w:lvl>
    <w:lvl w:ilvl="4" w:tplc="9AD20F9C">
      <w:start w:val="1"/>
      <w:numFmt w:val="bullet"/>
      <w:lvlText w:val="o"/>
      <w:lvlJc w:val="left"/>
      <w:pPr>
        <w:ind w:left="3600" w:hanging="360"/>
      </w:pPr>
      <w:rPr>
        <w:rFonts w:hint="default" w:ascii="Courier New" w:hAnsi="Courier New"/>
      </w:rPr>
    </w:lvl>
    <w:lvl w:ilvl="5" w:tplc="21BC8058">
      <w:start w:val="1"/>
      <w:numFmt w:val="bullet"/>
      <w:lvlText w:val=""/>
      <w:lvlJc w:val="left"/>
      <w:pPr>
        <w:ind w:left="4320" w:hanging="360"/>
      </w:pPr>
      <w:rPr>
        <w:rFonts w:hint="default" w:ascii="Wingdings" w:hAnsi="Wingdings"/>
      </w:rPr>
    </w:lvl>
    <w:lvl w:ilvl="6" w:tplc="3254302A">
      <w:start w:val="1"/>
      <w:numFmt w:val="bullet"/>
      <w:lvlText w:val=""/>
      <w:lvlJc w:val="left"/>
      <w:pPr>
        <w:ind w:left="5040" w:hanging="360"/>
      </w:pPr>
      <w:rPr>
        <w:rFonts w:hint="default" w:ascii="Symbol" w:hAnsi="Symbol"/>
      </w:rPr>
    </w:lvl>
    <w:lvl w:ilvl="7" w:tplc="0E5C3484">
      <w:start w:val="1"/>
      <w:numFmt w:val="bullet"/>
      <w:lvlText w:val="o"/>
      <w:lvlJc w:val="left"/>
      <w:pPr>
        <w:ind w:left="5760" w:hanging="360"/>
      </w:pPr>
      <w:rPr>
        <w:rFonts w:hint="default" w:ascii="Courier New" w:hAnsi="Courier New"/>
      </w:rPr>
    </w:lvl>
    <w:lvl w:ilvl="8" w:tplc="F6D83F08">
      <w:start w:val="1"/>
      <w:numFmt w:val="bullet"/>
      <w:lvlText w:val=""/>
      <w:lvlJc w:val="left"/>
      <w:pPr>
        <w:ind w:left="6480" w:hanging="360"/>
      </w:pPr>
      <w:rPr>
        <w:rFonts w:hint="default" w:ascii="Wingdings" w:hAnsi="Wingdings"/>
      </w:rPr>
    </w:lvl>
  </w:abstractNum>
  <w:abstractNum w:abstractNumId="14" w15:restartNumberingAfterBreak="0">
    <w:nsid w:val="771E18EE"/>
    <w:multiLevelType w:val="hybridMultilevel"/>
    <w:tmpl w:val="36361E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B6B108"/>
    <w:multiLevelType w:val="hybridMultilevel"/>
    <w:tmpl w:val="A33E33A6"/>
    <w:lvl w:ilvl="0" w:tplc="D57A300A">
      <w:start w:val="1"/>
      <w:numFmt w:val="bullet"/>
      <w:lvlText w:val=""/>
      <w:lvlJc w:val="left"/>
      <w:pPr>
        <w:ind w:left="720" w:hanging="360"/>
      </w:pPr>
      <w:rPr>
        <w:rFonts w:hint="default" w:ascii="Symbol" w:hAnsi="Symbol"/>
      </w:rPr>
    </w:lvl>
    <w:lvl w:ilvl="1" w:tplc="3F1EEE00">
      <w:start w:val="1"/>
      <w:numFmt w:val="bullet"/>
      <w:lvlText w:val="o"/>
      <w:lvlJc w:val="left"/>
      <w:pPr>
        <w:ind w:left="1440" w:hanging="360"/>
      </w:pPr>
      <w:rPr>
        <w:rFonts w:hint="default" w:ascii="Courier New" w:hAnsi="Courier New"/>
      </w:rPr>
    </w:lvl>
    <w:lvl w:ilvl="2" w:tplc="2C2CE4F6">
      <w:start w:val="1"/>
      <w:numFmt w:val="bullet"/>
      <w:lvlText w:val=""/>
      <w:lvlJc w:val="left"/>
      <w:pPr>
        <w:ind w:left="2160" w:hanging="360"/>
      </w:pPr>
      <w:rPr>
        <w:rFonts w:hint="default" w:ascii="Wingdings" w:hAnsi="Wingdings"/>
      </w:rPr>
    </w:lvl>
    <w:lvl w:ilvl="3" w:tplc="48B00AE8">
      <w:start w:val="1"/>
      <w:numFmt w:val="bullet"/>
      <w:lvlText w:val=""/>
      <w:lvlJc w:val="left"/>
      <w:pPr>
        <w:ind w:left="2880" w:hanging="360"/>
      </w:pPr>
      <w:rPr>
        <w:rFonts w:hint="default" w:ascii="Symbol" w:hAnsi="Symbol"/>
      </w:rPr>
    </w:lvl>
    <w:lvl w:ilvl="4" w:tplc="AD86A312">
      <w:start w:val="1"/>
      <w:numFmt w:val="bullet"/>
      <w:lvlText w:val="o"/>
      <w:lvlJc w:val="left"/>
      <w:pPr>
        <w:ind w:left="3600" w:hanging="360"/>
      </w:pPr>
      <w:rPr>
        <w:rFonts w:hint="default" w:ascii="Courier New" w:hAnsi="Courier New"/>
      </w:rPr>
    </w:lvl>
    <w:lvl w:ilvl="5" w:tplc="6F78F208">
      <w:start w:val="1"/>
      <w:numFmt w:val="bullet"/>
      <w:lvlText w:val=""/>
      <w:lvlJc w:val="left"/>
      <w:pPr>
        <w:ind w:left="4320" w:hanging="360"/>
      </w:pPr>
      <w:rPr>
        <w:rFonts w:hint="default" w:ascii="Wingdings" w:hAnsi="Wingdings"/>
      </w:rPr>
    </w:lvl>
    <w:lvl w:ilvl="6" w:tplc="DDB6205E">
      <w:start w:val="1"/>
      <w:numFmt w:val="bullet"/>
      <w:lvlText w:val=""/>
      <w:lvlJc w:val="left"/>
      <w:pPr>
        <w:ind w:left="5040" w:hanging="360"/>
      </w:pPr>
      <w:rPr>
        <w:rFonts w:hint="default" w:ascii="Symbol" w:hAnsi="Symbol"/>
      </w:rPr>
    </w:lvl>
    <w:lvl w:ilvl="7" w:tplc="2EC6B8F6">
      <w:start w:val="1"/>
      <w:numFmt w:val="bullet"/>
      <w:lvlText w:val="o"/>
      <w:lvlJc w:val="left"/>
      <w:pPr>
        <w:ind w:left="5760" w:hanging="360"/>
      </w:pPr>
      <w:rPr>
        <w:rFonts w:hint="default" w:ascii="Courier New" w:hAnsi="Courier New"/>
      </w:rPr>
    </w:lvl>
    <w:lvl w:ilvl="8" w:tplc="39DE4EBC">
      <w:start w:val="1"/>
      <w:numFmt w:val="bullet"/>
      <w:lvlText w:val=""/>
      <w:lvlJc w:val="left"/>
      <w:pPr>
        <w:ind w:left="6480" w:hanging="360"/>
      </w:pPr>
      <w:rPr>
        <w:rFonts w:hint="default" w:ascii="Wingdings" w:hAnsi="Wingdings"/>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7"/>
  </w:num>
  <w:num w:numId="8">
    <w:abstractNumId w:val="6"/>
  </w:num>
  <w:num w:numId="9">
    <w:abstractNumId w:val="1"/>
  </w:num>
  <w:num w:numId="10">
    <w:abstractNumId w:val="14"/>
  </w:num>
  <w:num w:numId="11">
    <w:abstractNumId w:val="12"/>
  </w:num>
  <w:num w:numId="12">
    <w:abstractNumId w:val="13"/>
  </w:num>
  <w:num w:numId="13">
    <w:abstractNumId w:val="4"/>
  </w:num>
  <w:num w:numId="14">
    <w:abstractNumId w:val="15"/>
  </w:num>
  <w:num w:numId="15">
    <w:abstractNumId w:val="2"/>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8"/>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11EFEC"/>
    <w:rsid w:val="00020EC2"/>
    <w:rsid w:val="0003486E"/>
    <w:rsid w:val="000458BD"/>
    <w:rsid w:val="00074AAF"/>
    <w:rsid w:val="00076C75"/>
    <w:rsid w:val="00077D42"/>
    <w:rsid w:val="0008444C"/>
    <w:rsid w:val="000A0A2B"/>
    <w:rsid w:val="000A21AF"/>
    <w:rsid w:val="000A3F94"/>
    <w:rsid w:val="000B0149"/>
    <w:rsid w:val="000B2559"/>
    <w:rsid w:val="000C0136"/>
    <w:rsid w:val="000D00A0"/>
    <w:rsid w:val="000D011A"/>
    <w:rsid w:val="000D0F2F"/>
    <w:rsid w:val="00101B60"/>
    <w:rsid w:val="00106CC7"/>
    <w:rsid w:val="00153F55"/>
    <w:rsid w:val="001563FE"/>
    <w:rsid w:val="00157E0B"/>
    <w:rsid w:val="00163065"/>
    <w:rsid w:val="00170AF6"/>
    <w:rsid w:val="00173437"/>
    <w:rsid w:val="001742BF"/>
    <w:rsid w:val="00180765"/>
    <w:rsid w:val="00191D8F"/>
    <w:rsid w:val="001926AD"/>
    <w:rsid w:val="00193993"/>
    <w:rsid w:val="0019779E"/>
    <w:rsid w:val="001A58C5"/>
    <w:rsid w:val="001A7243"/>
    <w:rsid w:val="001B00D9"/>
    <w:rsid w:val="001B1A3A"/>
    <w:rsid w:val="001B7FBA"/>
    <w:rsid w:val="001F31DA"/>
    <w:rsid w:val="001F4507"/>
    <w:rsid w:val="001F5EC5"/>
    <w:rsid w:val="00207009"/>
    <w:rsid w:val="0020726F"/>
    <w:rsid w:val="002176F7"/>
    <w:rsid w:val="002240A4"/>
    <w:rsid w:val="00230896"/>
    <w:rsid w:val="00231F87"/>
    <w:rsid w:val="00233248"/>
    <w:rsid w:val="00237B71"/>
    <w:rsid w:val="00250B36"/>
    <w:rsid w:val="0025594E"/>
    <w:rsid w:val="00257244"/>
    <w:rsid w:val="00260813"/>
    <w:rsid w:val="00274250"/>
    <w:rsid w:val="002764C0"/>
    <w:rsid w:val="00280205"/>
    <w:rsid w:val="00285AFD"/>
    <w:rsid w:val="002A62E4"/>
    <w:rsid w:val="002B6B04"/>
    <w:rsid w:val="002D49B3"/>
    <w:rsid w:val="002D5D4B"/>
    <w:rsid w:val="002E57DF"/>
    <w:rsid w:val="002E5ECE"/>
    <w:rsid w:val="00302BC2"/>
    <w:rsid w:val="003458E7"/>
    <w:rsid w:val="00366AB3"/>
    <w:rsid w:val="003750B1"/>
    <w:rsid w:val="003775D0"/>
    <w:rsid w:val="003817F5"/>
    <w:rsid w:val="0039094F"/>
    <w:rsid w:val="00392AD2"/>
    <w:rsid w:val="0039437C"/>
    <w:rsid w:val="00395209"/>
    <w:rsid w:val="00395C3B"/>
    <w:rsid w:val="003970AB"/>
    <w:rsid w:val="003F64EC"/>
    <w:rsid w:val="00401941"/>
    <w:rsid w:val="0040616D"/>
    <w:rsid w:val="00424340"/>
    <w:rsid w:val="00436827"/>
    <w:rsid w:val="004379E8"/>
    <w:rsid w:val="00445795"/>
    <w:rsid w:val="00450BB7"/>
    <w:rsid w:val="004711EA"/>
    <w:rsid w:val="00477B2D"/>
    <w:rsid w:val="00481FFE"/>
    <w:rsid w:val="00485592"/>
    <w:rsid w:val="00494B07"/>
    <w:rsid w:val="00495792"/>
    <w:rsid w:val="004A0DD4"/>
    <w:rsid w:val="004A29E3"/>
    <w:rsid w:val="004B039A"/>
    <w:rsid w:val="004B68D4"/>
    <w:rsid w:val="004C3BDB"/>
    <w:rsid w:val="004D4AE5"/>
    <w:rsid w:val="004E1183"/>
    <w:rsid w:val="004E1231"/>
    <w:rsid w:val="004E28A7"/>
    <w:rsid w:val="004E51CA"/>
    <w:rsid w:val="004E7956"/>
    <w:rsid w:val="004E93E4"/>
    <w:rsid w:val="004F68CE"/>
    <w:rsid w:val="00500A37"/>
    <w:rsid w:val="0050164C"/>
    <w:rsid w:val="00517947"/>
    <w:rsid w:val="00555D42"/>
    <w:rsid w:val="005979AA"/>
    <w:rsid w:val="00597C79"/>
    <w:rsid w:val="005A3FCD"/>
    <w:rsid w:val="005B5C3D"/>
    <w:rsid w:val="005C00A4"/>
    <w:rsid w:val="005C0F03"/>
    <w:rsid w:val="005D01A3"/>
    <w:rsid w:val="005E562B"/>
    <w:rsid w:val="005E79BD"/>
    <w:rsid w:val="0060561D"/>
    <w:rsid w:val="00605DF1"/>
    <w:rsid w:val="006169F6"/>
    <w:rsid w:val="00631096"/>
    <w:rsid w:val="00632D8B"/>
    <w:rsid w:val="006330F6"/>
    <w:rsid w:val="00645518"/>
    <w:rsid w:val="00647AED"/>
    <w:rsid w:val="006547B6"/>
    <w:rsid w:val="0065733F"/>
    <w:rsid w:val="00671DE6"/>
    <w:rsid w:val="00675C21"/>
    <w:rsid w:val="00681EEF"/>
    <w:rsid w:val="006D253C"/>
    <w:rsid w:val="006E650C"/>
    <w:rsid w:val="006E74D4"/>
    <w:rsid w:val="006F2D76"/>
    <w:rsid w:val="006F3A67"/>
    <w:rsid w:val="00713B37"/>
    <w:rsid w:val="00721391"/>
    <w:rsid w:val="0072750E"/>
    <w:rsid w:val="00740AD5"/>
    <w:rsid w:val="00744AE6"/>
    <w:rsid w:val="00782643"/>
    <w:rsid w:val="007845FE"/>
    <w:rsid w:val="007957C8"/>
    <w:rsid w:val="007A73FB"/>
    <w:rsid w:val="007B210D"/>
    <w:rsid w:val="007C2A50"/>
    <w:rsid w:val="007D0EE5"/>
    <w:rsid w:val="007D59AA"/>
    <w:rsid w:val="007D5DD4"/>
    <w:rsid w:val="007D63B2"/>
    <w:rsid w:val="007D7C21"/>
    <w:rsid w:val="007E0C60"/>
    <w:rsid w:val="007E2239"/>
    <w:rsid w:val="007E6004"/>
    <w:rsid w:val="007F67D3"/>
    <w:rsid w:val="00805169"/>
    <w:rsid w:val="00806EE2"/>
    <w:rsid w:val="00820AB2"/>
    <w:rsid w:val="0083267B"/>
    <w:rsid w:val="0083285D"/>
    <w:rsid w:val="00835A23"/>
    <w:rsid w:val="008420DF"/>
    <w:rsid w:val="00845960"/>
    <w:rsid w:val="008603A1"/>
    <w:rsid w:val="0086425D"/>
    <w:rsid w:val="00866DD6"/>
    <w:rsid w:val="00875D51"/>
    <w:rsid w:val="008847F5"/>
    <w:rsid w:val="008917C3"/>
    <w:rsid w:val="008A075F"/>
    <w:rsid w:val="008C2A40"/>
    <w:rsid w:val="008C7755"/>
    <w:rsid w:val="008C7F5B"/>
    <w:rsid w:val="008D2464"/>
    <w:rsid w:val="008D73FC"/>
    <w:rsid w:val="008E0D89"/>
    <w:rsid w:val="008E29FB"/>
    <w:rsid w:val="008E3DDC"/>
    <w:rsid w:val="008E6CDA"/>
    <w:rsid w:val="008F0E94"/>
    <w:rsid w:val="008F471C"/>
    <w:rsid w:val="008F503E"/>
    <w:rsid w:val="00913E70"/>
    <w:rsid w:val="00926E38"/>
    <w:rsid w:val="00933167"/>
    <w:rsid w:val="00937B1A"/>
    <w:rsid w:val="0096008A"/>
    <w:rsid w:val="009806E9"/>
    <w:rsid w:val="00982C0D"/>
    <w:rsid w:val="00983019"/>
    <w:rsid w:val="00994A66"/>
    <w:rsid w:val="0099502D"/>
    <w:rsid w:val="00997748"/>
    <w:rsid w:val="009B1385"/>
    <w:rsid w:val="009C5D78"/>
    <w:rsid w:val="009D06E0"/>
    <w:rsid w:val="009D0A22"/>
    <w:rsid w:val="009D56CD"/>
    <w:rsid w:val="00A03A97"/>
    <w:rsid w:val="00A05EC6"/>
    <w:rsid w:val="00A208A1"/>
    <w:rsid w:val="00A31A54"/>
    <w:rsid w:val="00A50E6D"/>
    <w:rsid w:val="00A5628A"/>
    <w:rsid w:val="00A61132"/>
    <w:rsid w:val="00A630BF"/>
    <w:rsid w:val="00A72128"/>
    <w:rsid w:val="00A761BF"/>
    <w:rsid w:val="00A806A8"/>
    <w:rsid w:val="00A82D8E"/>
    <w:rsid w:val="00A84968"/>
    <w:rsid w:val="00A84FDB"/>
    <w:rsid w:val="00A864A7"/>
    <w:rsid w:val="00AA1DD2"/>
    <w:rsid w:val="00AA1FE0"/>
    <w:rsid w:val="00AA2539"/>
    <w:rsid w:val="00AB7766"/>
    <w:rsid w:val="00AB7A67"/>
    <w:rsid w:val="00AC05DE"/>
    <w:rsid w:val="00AD6441"/>
    <w:rsid w:val="00AE2A2C"/>
    <w:rsid w:val="00AE2B13"/>
    <w:rsid w:val="00AE6CB8"/>
    <w:rsid w:val="00AF6FA6"/>
    <w:rsid w:val="00AF70DA"/>
    <w:rsid w:val="00B0134C"/>
    <w:rsid w:val="00B07850"/>
    <w:rsid w:val="00B24A83"/>
    <w:rsid w:val="00B260A2"/>
    <w:rsid w:val="00B34E50"/>
    <w:rsid w:val="00B35035"/>
    <w:rsid w:val="00B375B8"/>
    <w:rsid w:val="00B55CBA"/>
    <w:rsid w:val="00B56FE1"/>
    <w:rsid w:val="00B65DFB"/>
    <w:rsid w:val="00B72240"/>
    <w:rsid w:val="00B769AA"/>
    <w:rsid w:val="00B829CA"/>
    <w:rsid w:val="00BA0A79"/>
    <w:rsid w:val="00BC2A69"/>
    <w:rsid w:val="00BC4027"/>
    <w:rsid w:val="00BD0700"/>
    <w:rsid w:val="00BD222C"/>
    <w:rsid w:val="00BD4C3A"/>
    <w:rsid w:val="00BD4E2E"/>
    <w:rsid w:val="00BE017A"/>
    <w:rsid w:val="00BE33D4"/>
    <w:rsid w:val="00BF03BC"/>
    <w:rsid w:val="00BF2A91"/>
    <w:rsid w:val="00BF780D"/>
    <w:rsid w:val="00C046F6"/>
    <w:rsid w:val="00C27B03"/>
    <w:rsid w:val="00C33F04"/>
    <w:rsid w:val="00C52AA2"/>
    <w:rsid w:val="00C9334D"/>
    <w:rsid w:val="00CA3083"/>
    <w:rsid w:val="00CA71E4"/>
    <w:rsid w:val="00CC4B93"/>
    <w:rsid w:val="00CD1B72"/>
    <w:rsid w:val="00CE4C46"/>
    <w:rsid w:val="00CF043B"/>
    <w:rsid w:val="00CF49DF"/>
    <w:rsid w:val="00D04268"/>
    <w:rsid w:val="00D10557"/>
    <w:rsid w:val="00D13897"/>
    <w:rsid w:val="00D2529E"/>
    <w:rsid w:val="00D279DC"/>
    <w:rsid w:val="00D32BF9"/>
    <w:rsid w:val="00D357FC"/>
    <w:rsid w:val="00D37EA2"/>
    <w:rsid w:val="00D41732"/>
    <w:rsid w:val="00D54FED"/>
    <w:rsid w:val="00D553A3"/>
    <w:rsid w:val="00D5755E"/>
    <w:rsid w:val="00D64163"/>
    <w:rsid w:val="00D6420C"/>
    <w:rsid w:val="00D644F1"/>
    <w:rsid w:val="00D6729D"/>
    <w:rsid w:val="00D70C33"/>
    <w:rsid w:val="00D72A75"/>
    <w:rsid w:val="00D93CED"/>
    <w:rsid w:val="00DA0E08"/>
    <w:rsid w:val="00DA204F"/>
    <w:rsid w:val="00DA33C7"/>
    <w:rsid w:val="00DA62D6"/>
    <w:rsid w:val="00DA7D84"/>
    <w:rsid w:val="00DB0E20"/>
    <w:rsid w:val="00DB315F"/>
    <w:rsid w:val="00DB6B7F"/>
    <w:rsid w:val="00DB7BF0"/>
    <w:rsid w:val="00DD1046"/>
    <w:rsid w:val="00DE4A4E"/>
    <w:rsid w:val="00DF0C2A"/>
    <w:rsid w:val="00DF7D1D"/>
    <w:rsid w:val="00E00436"/>
    <w:rsid w:val="00E116D0"/>
    <w:rsid w:val="00E12BA9"/>
    <w:rsid w:val="00E13FA4"/>
    <w:rsid w:val="00E242A5"/>
    <w:rsid w:val="00E25A49"/>
    <w:rsid w:val="00E26D23"/>
    <w:rsid w:val="00E31036"/>
    <w:rsid w:val="00E356C0"/>
    <w:rsid w:val="00E412CF"/>
    <w:rsid w:val="00E51640"/>
    <w:rsid w:val="00E559B0"/>
    <w:rsid w:val="00E62C0D"/>
    <w:rsid w:val="00E66B08"/>
    <w:rsid w:val="00E66C71"/>
    <w:rsid w:val="00E71A2B"/>
    <w:rsid w:val="00E754B5"/>
    <w:rsid w:val="00E810D4"/>
    <w:rsid w:val="00E84AA2"/>
    <w:rsid w:val="00EB1377"/>
    <w:rsid w:val="00EB42D8"/>
    <w:rsid w:val="00EB7D0D"/>
    <w:rsid w:val="00EC01D6"/>
    <w:rsid w:val="00EC2015"/>
    <w:rsid w:val="00EC72EA"/>
    <w:rsid w:val="00EE0432"/>
    <w:rsid w:val="00EE25B6"/>
    <w:rsid w:val="00EE4A4E"/>
    <w:rsid w:val="00EF53F2"/>
    <w:rsid w:val="00F00C42"/>
    <w:rsid w:val="00F0590A"/>
    <w:rsid w:val="00F12484"/>
    <w:rsid w:val="00F14F7B"/>
    <w:rsid w:val="00F17B76"/>
    <w:rsid w:val="00F17BC6"/>
    <w:rsid w:val="00F26E0A"/>
    <w:rsid w:val="00F3073D"/>
    <w:rsid w:val="00F3093E"/>
    <w:rsid w:val="00F3129F"/>
    <w:rsid w:val="00F41877"/>
    <w:rsid w:val="00F61FC4"/>
    <w:rsid w:val="00F72111"/>
    <w:rsid w:val="00F966ED"/>
    <w:rsid w:val="00F9799D"/>
    <w:rsid w:val="00FA0FE0"/>
    <w:rsid w:val="00FA2EE1"/>
    <w:rsid w:val="00FA3A49"/>
    <w:rsid w:val="00FA65D5"/>
    <w:rsid w:val="00FB3F90"/>
    <w:rsid w:val="00FC459B"/>
    <w:rsid w:val="00FC6B0F"/>
    <w:rsid w:val="00FC738E"/>
    <w:rsid w:val="00FD1450"/>
    <w:rsid w:val="00FD18AB"/>
    <w:rsid w:val="00FD2B31"/>
    <w:rsid w:val="00FD6B2B"/>
    <w:rsid w:val="00FE4DA5"/>
    <w:rsid w:val="00FF2DB2"/>
    <w:rsid w:val="00FF6AEE"/>
    <w:rsid w:val="0423394A"/>
    <w:rsid w:val="088CC81F"/>
    <w:rsid w:val="096277C0"/>
    <w:rsid w:val="0D5E843F"/>
    <w:rsid w:val="109B413C"/>
    <w:rsid w:val="14EA7511"/>
    <w:rsid w:val="16B782C0"/>
    <w:rsid w:val="16D9CD96"/>
    <w:rsid w:val="19C9ADE4"/>
    <w:rsid w:val="1C5ADBCD"/>
    <w:rsid w:val="1E670FD6"/>
    <w:rsid w:val="20C277A4"/>
    <w:rsid w:val="2111EFEC"/>
    <w:rsid w:val="22A275A6"/>
    <w:rsid w:val="232468C5"/>
    <w:rsid w:val="23411AD6"/>
    <w:rsid w:val="239DC07D"/>
    <w:rsid w:val="25F45BCE"/>
    <w:rsid w:val="26F82AA8"/>
    <w:rsid w:val="2779D608"/>
    <w:rsid w:val="2A439D9F"/>
    <w:rsid w:val="2A76A445"/>
    <w:rsid w:val="2AE27991"/>
    <w:rsid w:val="2CAEEA6E"/>
    <w:rsid w:val="2D052DF4"/>
    <w:rsid w:val="2DFF6DB3"/>
    <w:rsid w:val="2E1E2B25"/>
    <w:rsid w:val="2F7E4FCA"/>
    <w:rsid w:val="32069C99"/>
    <w:rsid w:val="346EAF37"/>
    <w:rsid w:val="34882FB5"/>
    <w:rsid w:val="3765F044"/>
    <w:rsid w:val="3A4DDCBA"/>
    <w:rsid w:val="3C302233"/>
    <w:rsid w:val="3C84C581"/>
    <w:rsid w:val="3D6DFEE1"/>
    <w:rsid w:val="3F43B437"/>
    <w:rsid w:val="3FB94F64"/>
    <w:rsid w:val="4592457A"/>
    <w:rsid w:val="467A7D7C"/>
    <w:rsid w:val="4C2DC1E2"/>
    <w:rsid w:val="4C347DCC"/>
    <w:rsid w:val="4D7C0164"/>
    <w:rsid w:val="4E452BF9"/>
    <w:rsid w:val="5058D6E4"/>
    <w:rsid w:val="5085D8F5"/>
    <w:rsid w:val="516A3023"/>
    <w:rsid w:val="5245DE25"/>
    <w:rsid w:val="5263A9FA"/>
    <w:rsid w:val="535E35BC"/>
    <w:rsid w:val="54495C3F"/>
    <w:rsid w:val="54690597"/>
    <w:rsid w:val="557D7EE7"/>
    <w:rsid w:val="55E52CA0"/>
    <w:rsid w:val="5756AE04"/>
    <w:rsid w:val="5A50F00A"/>
    <w:rsid w:val="5A8B4FD1"/>
    <w:rsid w:val="5AF5828F"/>
    <w:rsid w:val="5C272032"/>
    <w:rsid w:val="5D9D31D2"/>
    <w:rsid w:val="5F4A1477"/>
    <w:rsid w:val="6022E17D"/>
    <w:rsid w:val="61D1C056"/>
    <w:rsid w:val="647B89BC"/>
    <w:rsid w:val="65ECB282"/>
    <w:rsid w:val="66296EBE"/>
    <w:rsid w:val="67DE5379"/>
    <w:rsid w:val="68D721A2"/>
    <w:rsid w:val="6A7AC80F"/>
    <w:rsid w:val="6C1CD326"/>
    <w:rsid w:val="6D6193E0"/>
    <w:rsid w:val="6DBC265C"/>
    <w:rsid w:val="6E0943A5"/>
    <w:rsid w:val="70151F8D"/>
    <w:rsid w:val="71E3C7D1"/>
    <w:rsid w:val="76D2E66D"/>
    <w:rsid w:val="79B1AA16"/>
    <w:rsid w:val="7CE2A637"/>
    <w:rsid w:val="7CF8B2AD"/>
    <w:rsid w:val="7DF58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F42A4"/>
  <w15:chartTrackingRefBased/>
  <w15:docId w15:val="{9BCC95D2-7898-4844-87E9-9FA75F8FFA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aliases w:val="FSHeading 1,Chapter heading"/>
    <w:basedOn w:val="Normal"/>
    <w:next w:val="Normal"/>
    <w:link w:val="Heading1Char"/>
    <w:uiPriority w:val="9"/>
    <w:qFormat/>
    <w:rsid w:val="004E28A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8A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aliases w:val="FSHeading 3,Subheading 1"/>
    <w:basedOn w:val="Normal"/>
    <w:next w:val="Normal"/>
    <w:link w:val="Heading3Char"/>
    <w:uiPriority w:val="9"/>
    <w:unhideWhenUsed/>
    <w:qFormat/>
    <w:rsid w:val="0020726F"/>
    <w:pPr>
      <w:keepNext/>
      <w:widowControl w:val="0"/>
      <w:spacing w:before="240" w:after="240" w:line="240" w:lineRule="auto"/>
      <w:ind w:left="851" w:hanging="851"/>
      <w:outlineLvl w:val="2"/>
    </w:pPr>
    <w:rPr>
      <w:rFonts w:ascii="Arial" w:hAnsi="Arial" w:eastAsia="Times New Roman" w:cs="Times New Roman"/>
      <w:b/>
      <w:bCs/>
      <w:color w:val="000000" w:themeColor="text1"/>
      <w:szCs w:val="24"/>
      <w:lang w:val="en-GB" w:eastAsia="en-AU"/>
    </w:rPr>
  </w:style>
  <w:style w:type="paragraph" w:styleId="Heading4">
    <w:name w:val="heading 4"/>
    <w:basedOn w:val="Normal"/>
    <w:next w:val="Normal"/>
    <w:link w:val="Heading4Char"/>
    <w:uiPriority w:val="9"/>
    <w:unhideWhenUsed/>
    <w:qFormat/>
    <w:rsid w:val="007E0C60"/>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26D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6D23"/>
  </w:style>
  <w:style w:type="paragraph" w:styleId="Footer">
    <w:name w:val="footer"/>
    <w:basedOn w:val="Normal"/>
    <w:link w:val="FooterChar"/>
    <w:uiPriority w:val="99"/>
    <w:unhideWhenUsed/>
    <w:rsid w:val="00E26D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6D23"/>
  </w:style>
  <w:style w:type="character" w:styleId="Hyperlink">
    <w:name w:val="Hyperlink"/>
    <w:basedOn w:val="DefaultParagraphFont"/>
    <w:uiPriority w:val="99"/>
    <w:rsid w:val="00E26D23"/>
    <w:rPr>
      <w:color w:val="3333FF"/>
      <w:u w:val="single"/>
    </w:rPr>
  </w:style>
  <w:style w:type="character" w:styleId="PageNumber">
    <w:name w:val="page number"/>
    <w:basedOn w:val="DefaultParagraphFont"/>
    <w:rsid w:val="00E26D23"/>
    <w:rPr>
      <w:rFonts w:ascii="Arial" w:hAnsi="Arial"/>
      <w:sz w:val="20"/>
    </w:rPr>
  </w:style>
  <w:style w:type="paragraph" w:styleId="CommentText">
    <w:name w:val="annotation text"/>
    <w:basedOn w:val="Normal"/>
    <w:link w:val="CommentTextChar"/>
    <w:uiPriority w:val="99"/>
    <w:rsid w:val="00E26D23"/>
    <w:pPr>
      <w:widowControl w:val="0"/>
      <w:spacing w:after="0" w:line="240" w:lineRule="auto"/>
    </w:pPr>
    <w:rPr>
      <w:rFonts w:ascii="Arial" w:hAnsi="Arial" w:eastAsia="Times New Roman" w:cs="Times New Roman"/>
      <w:sz w:val="20"/>
      <w:szCs w:val="20"/>
      <w:lang w:val="en-GB" w:bidi="en-US"/>
    </w:rPr>
  </w:style>
  <w:style w:type="character" w:styleId="CommentTextChar" w:customStyle="1">
    <w:name w:val="Comment Text Char"/>
    <w:basedOn w:val="DefaultParagraphFont"/>
    <w:link w:val="CommentText"/>
    <w:uiPriority w:val="99"/>
    <w:rsid w:val="00E26D23"/>
    <w:rPr>
      <w:rFonts w:ascii="Arial" w:hAnsi="Arial" w:eastAsia="Times New Roman" w:cs="Times New Roman"/>
      <w:sz w:val="20"/>
      <w:szCs w:val="20"/>
      <w:lang w:val="en-GB" w:bidi="en-US"/>
    </w:rPr>
  </w:style>
  <w:style w:type="table" w:styleId="MediumShading1-Accent31" w:customStyle="1">
    <w:name w:val="Medium Shading 1 - Accent 31"/>
    <w:basedOn w:val="TableNormal"/>
    <w:next w:val="MediumShading1-Accent3"/>
    <w:uiPriority w:val="63"/>
    <w:rsid w:val="00E26D23"/>
    <w:pPr>
      <w:spacing w:after="0" w:line="240" w:lineRule="auto"/>
    </w:pPr>
    <w:rPr>
      <w:rFonts w:ascii="Calibri" w:hAnsi="Calibri" w:eastAsia="Times New Roman" w:cs="Times New Roman"/>
      <w:sz w:val="20"/>
      <w:szCs w:val="20"/>
      <w:lang w:val="en-GB" w:eastAsia="en-GB"/>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FSBullet1" w:customStyle="1">
    <w:name w:val="FSBullet 1"/>
    <w:basedOn w:val="Normal"/>
    <w:next w:val="Normal"/>
    <w:link w:val="FSBullet1Char"/>
    <w:qFormat/>
    <w:rsid w:val="00E26D23"/>
    <w:pPr>
      <w:numPr>
        <w:numId w:val="2"/>
      </w:numPr>
      <w:spacing w:after="0" w:line="240" w:lineRule="auto"/>
      <w:ind w:left="567" w:hanging="567"/>
    </w:pPr>
    <w:rPr>
      <w:rFonts w:ascii="Arial" w:hAnsi="Arial" w:eastAsia="Times New Roman" w:cs="Arial"/>
      <w:szCs w:val="24"/>
      <w:lang w:val="en-GB"/>
    </w:rPr>
  </w:style>
  <w:style w:type="character" w:styleId="FSBullet1Char" w:customStyle="1">
    <w:name w:val="FSBullet 1 Char"/>
    <w:link w:val="FSBullet1"/>
    <w:rsid w:val="00E26D23"/>
    <w:rPr>
      <w:rFonts w:ascii="Arial" w:hAnsi="Arial" w:eastAsia="Times New Roman" w:cs="Arial"/>
      <w:szCs w:val="24"/>
      <w:lang w:val="en-GB"/>
    </w:rPr>
  </w:style>
  <w:style w:type="character" w:styleId="CommentReference">
    <w:name w:val="annotation reference"/>
    <w:basedOn w:val="DefaultParagraphFont"/>
    <w:rsid w:val="00E26D23"/>
    <w:rPr>
      <w:sz w:val="16"/>
      <w:szCs w:val="16"/>
    </w:rPr>
  </w:style>
  <w:style w:type="paragraph" w:styleId="CommentSubject">
    <w:name w:val="annotation subject"/>
    <w:basedOn w:val="CommentText"/>
    <w:next w:val="CommentText"/>
    <w:link w:val="CommentSubjectChar"/>
    <w:rsid w:val="00E26D23"/>
    <w:rPr>
      <w:b/>
      <w:bCs/>
    </w:rPr>
  </w:style>
  <w:style w:type="character" w:styleId="CommentSubjectChar" w:customStyle="1">
    <w:name w:val="Comment Subject Char"/>
    <w:basedOn w:val="CommentTextChar"/>
    <w:link w:val="CommentSubject"/>
    <w:rsid w:val="00E26D23"/>
    <w:rPr>
      <w:rFonts w:ascii="Arial" w:hAnsi="Arial" w:eastAsia="Times New Roman" w:cs="Times New Roman"/>
      <w:b/>
      <w:bCs/>
      <w:sz w:val="20"/>
      <w:szCs w:val="20"/>
      <w:lang w:val="en-GB" w:bidi="en-US"/>
    </w:rPr>
  </w:style>
  <w:style w:type="table" w:styleId="MediumShading1-Accent3">
    <w:name w:val="Medium Shading 1 Accent 3"/>
    <w:basedOn w:val="TableNormal"/>
    <w:uiPriority w:val="63"/>
    <w:semiHidden/>
    <w:unhideWhenUsed/>
    <w:rsid w:val="00E26D23"/>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E26D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6D23"/>
    <w:rPr>
      <w:rFonts w:ascii="Segoe UI" w:hAnsi="Segoe UI" w:cs="Segoe UI"/>
      <w:sz w:val="18"/>
      <w:szCs w:val="18"/>
    </w:rPr>
  </w:style>
  <w:style w:type="paragraph" w:styleId="Default" w:customStyle="1">
    <w:name w:val="Default"/>
    <w:rsid w:val="0020726F"/>
    <w:pPr>
      <w:autoSpaceDE w:val="0"/>
      <w:autoSpaceDN w:val="0"/>
      <w:adjustRightInd w:val="0"/>
      <w:spacing w:after="0" w:line="240" w:lineRule="auto"/>
    </w:pPr>
    <w:rPr>
      <w:rFonts w:ascii="Segoe UI" w:hAnsi="Segoe UI" w:eastAsia="Times New Roman" w:cs="Segoe UI"/>
      <w:color w:val="000000"/>
      <w:sz w:val="24"/>
      <w:szCs w:val="24"/>
      <w:lang w:val="en-GB" w:eastAsia="en-GB"/>
    </w:rPr>
  </w:style>
  <w:style w:type="paragraph" w:styleId="ListParagraph">
    <w:name w:val="List Paragraph"/>
    <w:basedOn w:val="Normal"/>
    <w:uiPriority w:val="34"/>
    <w:qFormat/>
    <w:rsid w:val="0020726F"/>
    <w:pPr>
      <w:ind w:left="720"/>
      <w:contextualSpacing/>
    </w:pPr>
  </w:style>
  <w:style w:type="character" w:styleId="normaltextrun" w:customStyle="1">
    <w:name w:val="normaltextrun"/>
    <w:basedOn w:val="DefaultParagraphFont"/>
    <w:rsid w:val="0020726F"/>
  </w:style>
  <w:style w:type="character" w:styleId="eop" w:customStyle="1">
    <w:name w:val="eop"/>
    <w:basedOn w:val="DefaultParagraphFont"/>
    <w:rsid w:val="0020726F"/>
  </w:style>
  <w:style w:type="character" w:styleId="Heading3Char" w:customStyle="1">
    <w:name w:val="Heading 3 Char"/>
    <w:aliases w:val="FSHeading 3 Char,Subheading 1 Char"/>
    <w:basedOn w:val="DefaultParagraphFont"/>
    <w:link w:val="Heading3"/>
    <w:uiPriority w:val="9"/>
    <w:rsid w:val="0020726F"/>
    <w:rPr>
      <w:rFonts w:ascii="Arial" w:hAnsi="Arial" w:eastAsia="Times New Roman" w:cs="Times New Roman"/>
      <w:b/>
      <w:bCs/>
      <w:color w:val="000000" w:themeColor="text1"/>
      <w:szCs w:val="24"/>
      <w:lang w:val="en-GB" w:eastAsia="en-AU"/>
    </w:rPr>
  </w:style>
  <w:style w:type="character" w:styleId="FootnoteReference">
    <w:name w:val="footnote reference"/>
    <w:basedOn w:val="DefaultParagraphFont"/>
    <w:rsid w:val="0020726F"/>
    <w:rPr>
      <w:vertAlign w:val="superscript"/>
    </w:rPr>
  </w:style>
  <w:style w:type="paragraph" w:styleId="FootnoteText">
    <w:name w:val="footnote text"/>
    <w:aliases w:val="Footnotes Text,FSFootnotes Text,FSFootnote Text"/>
    <w:basedOn w:val="Normal"/>
    <w:link w:val="FootnoteTextChar"/>
    <w:qFormat/>
    <w:rsid w:val="0020726F"/>
    <w:pPr>
      <w:widowControl w:val="0"/>
      <w:spacing w:after="0" w:line="240" w:lineRule="auto"/>
    </w:pPr>
    <w:rPr>
      <w:rFonts w:ascii="Arial" w:hAnsi="Arial" w:eastAsia="Times New Roman" w:cs="Times New Roman"/>
      <w:sz w:val="20"/>
      <w:szCs w:val="20"/>
      <w:lang w:val="en-GB" w:bidi="en-US"/>
    </w:rPr>
  </w:style>
  <w:style w:type="character" w:styleId="FootnoteTextChar" w:customStyle="1">
    <w:name w:val="Footnote Text Char"/>
    <w:aliases w:val="Footnotes Text Char,FSFootnotes Text Char,FSFootnote Text Char"/>
    <w:basedOn w:val="DefaultParagraphFont"/>
    <w:link w:val="FootnoteText"/>
    <w:rsid w:val="0020726F"/>
    <w:rPr>
      <w:rFonts w:ascii="Arial" w:hAnsi="Arial" w:eastAsia="Times New Roman" w:cs="Times New Roman"/>
      <w:sz w:val="20"/>
      <w:szCs w:val="20"/>
      <w:lang w:val="en-GB" w:bidi="en-US"/>
    </w:rPr>
  </w:style>
  <w:style w:type="paragraph" w:styleId="paragraph" w:customStyle="1">
    <w:name w:val="paragraph"/>
    <w:basedOn w:val="Normal"/>
    <w:rsid w:val="00A50E6D"/>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Heading4Char" w:customStyle="1">
    <w:name w:val="Heading 4 Char"/>
    <w:basedOn w:val="DefaultParagraphFont"/>
    <w:link w:val="Heading4"/>
    <w:uiPriority w:val="9"/>
    <w:rsid w:val="007E0C60"/>
    <w:rPr>
      <w:rFonts w:asciiTheme="majorHAnsi" w:hAnsiTheme="majorHAnsi" w:eastAsiaTheme="majorEastAsia" w:cstheme="majorBidi"/>
      <w:i/>
      <w:iCs/>
      <w:color w:val="2F5496" w:themeColor="accent1" w:themeShade="BF"/>
    </w:rPr>
  </w:style>
  <w:style w:type="character" w:styleId="superscript" w:customStyle="1">
    <w:name w:val="superscript"/>
    <w:basedOn w:val="DefaultParagraphFont"/>
    <w:rsid w:val="00FA65D5"/>
  </w:style>
  <w:style w:type="table" w:styleId="TableGrid">
    <w:name w:val="Table Grid"/>
    <w:basedOn w:val="TableNormal"/>
    <w:rsid w:val="003F64EC"/>
    <w:pPr>
      <w:spacing w:after="0" w:line="240" w:lineRule="auto"/>
    </w:pPr>
    <w:rPr>
      <w:rFonts w:ascii="Calibri" w:hAnsi="Calibri" w:eastAsia="Times New Roman" w:cs="Times New Roman"/>
      <w:sz w:val="20"/>
      <w:szCs w:val="20"/>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FSCDraftingitem" w:customStyle="1">
    <w:name w:val="FSC_Drafting_item"/>
    <w:basedOn w:val="Normal"/>
    <w:qFormat/>
    <w:locked/>
    <w:rsid w:val="003F64EC"/>
    <w:pPr>
      <w:tabs>
        <w:tab w:val="left" w:pos="851"/>
      </w:tabs>
      <w:spacing w:before="120" w:after="120" w:line="240" w:lineRule="auto"/>
    </w:pPr>
    <w:rPr>
      <w:rFonts w:ascii="Arial" w:hAnsi="Arial" w:eastAsia="Times New Roman" w:cs="Times New Roman"/>
      <w:sz w:val="20"/>
      <w:szCs w:val="20"/>
      <w:lang w:val="en-GB"/>
    </w:rPr>
  </w:style>
  <w:style w:type="paragraph" w:styleId="FSCDraftingitemheading" w:customStyle="1">
    <w:name w:val="FSC_Drafting_item_heading"/>
    <w:basedOn w:val="Normal"/>
    <w:qFormat/>
    <w:locked/>
    <w:rsid w:val="003F64EC"/>
    <w:pPr>
      <w:widowControl w:val="0"/>
      <w:spacing w:before="120" w:after="120" w:line="240" w:lineRule="auto"/>
      <w:ind w:left="851" w:hanging="851"/>
    </w:pPr>
    <w:rPr>
      <w:rFonts w:ascii="Arial" w:hAnsi="Arial" w:eastAsia="Times New Roman" w:cs="Times New Roman"/>
      <w:b/>
      <w:sz w:val="20"/>
      <w:szCs w:val="20"/>
      <w:lang w:val="en-GB"/>
    </w:rPr>
  </w:style>
  <w:style w:type="paragraph" w:styleId="FSCtblMain" w:customStyle="1">
    <w:name w:val="FSC_tbl_Main"/>
    <w:basedOn w:val="Normal"/>
    <w:locked/>
    <w:rsid w:val="003F64EC"/>
    <w:pPr>
      <w:keepLines/>
      <w:tabs>
        <w:tab w:val="right" w:pos="3969"/>
      </w:tabs>
      <w:spacing w:before="60" w:after="60" w:line="240" w:lineRule="auto"/>
    </w:pPr>
    <w:rPr>
      <w:rFonts w:ascii="Arial" w:hAnsi="Arial" w:eastAsia="Times New Roman" w:cs="Arial"/>
      <w:sz w:val="18"/>
      <w:szCs w:val="20"/>
      <w:lang w:val="en-GB" w:eastAsia="en-AU"/>
    </w:rPr>
  </w:style>
  <w:style w:type="character" w:styleId="Heading1Char" w:customStyle="1">
    <w:name w:val="Heading 1 Char"/>
    <w:aliases w:val="FSHeading 1 Char,Chapter heading Char"/>
    <w:basedOn w:val="DefaultParagraphFont"/>
    <w:link w:val="Heading1"/>
    <w:uiPriority w:val="9"/>
    <w:rsid w:val="004E28A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E28A7"/>
    <w:rPr>
      <w:rFonts w:asciiTheme="majorHAnsi" w:hAnsiTheme="majorHAnsi" w:eastAsiaTheme="majorEastAsia" w:cstheme="majorBidi"/>
      <w:color w:val="2F5496" w:themeColor="accent1" w:themeShade="BF"/>
      <w:sz w:val="26"/>
      <w:szCs w:val="26"/>
    </w:rPr>
  </w:style>
  <w:style w:type="paragraph" w:styleId="TOC3">
    <w:name w:val="toc 3"/>
    <w:basedOn w:val="Normal"/>
    <w:next w:val="Normal"/>
    <w:autoRedefine/>
    <w:uiPriority w:val="39"/>
    <w:unhideWhenUsed/>
    <w:rsid w:val="00A05EC6"/>
    <w:pPr>
      <w:tabs>
        <w:tab w:val="left" w:pos="1100"/>
        <w:tab w:val="right" w:leader="dot" w:pos="9060"/>
      </w:tabs>
      <w:spacing w:after="0"/>
      <w:ind w:left="709" w:hanging="267"/>
    </w:pPr>
  </w:style>
  <w:style w:type="paragraph" w:styleId="TOC1">
    <w:name w:val="toc 1"/>
    <w:basedOn w:val="Normal"/>
    <w:next w:val="Normal"/>
    <w:autoRedefine/>
    <w:uiPriority w:val="39"/>
    <w:unhideWhenUsed/>
    <w:rsid w:val="00FB3F90"/>
    <w:pPr>
      <w:spacing w:after="100"/>
    </w:pPr>
  </w:style>
  <w:style w:type="paragraph" w:styleId="TOC2">
    <w:name w:val="toc 2"/>
    <w:basedOn w:val="Normal"/>
    <w:next w:val="Normal"/>
    <w:autoRedefine/>
    <w:uiPriority w:val="39"/>
    <w:unhideWhenUsed/>
    <w:rsid w:val="00875D51"/>
    <w:pPr>
      <w:spacing w:after="100"/>
      <w:ind w:left="220"/>
    </w:pPr>
  </w:style>
  <w:style w:type="paragraph" w:styleId="Revision">
    <w:name w:val="Revision"/>
    <w:hidden/>
    <w:uiPriority w:val="99"/>
    <w:semiHidden/>
    <w:rsid w:val="0072750E"/>
    <w:pPr>
      <w:spacing w:after="0" w:line="240" w:lineRule="auto"/>
    </w:pPr>
  </w:style>
  <w:style w:type="paragraph" w:styleId="FSCtblPara" w:customStyle="1">
    <w:name w:val="FSC_tbl_Para"/>
    <w:basedOn w:val="Normal"/>
    <w:locked/>
    <w:rsid w:val="00BA0A79"/>
    <w:pPr>
      <w:keepLines/>
      <w:spacing w:before="60" w:after="60" w:line="240" w:lineRule="auto"/>
      <w:ind w:left="397" w:hanging="397"/>
    </w:pPr>
    <w:rPr>
      <w:rFonts w:ascii="Arial" w:hAnsi="Arial" w:eastAsia="Times New Roman" w:cs="Arial"/>
      <w:sz w:val="18"/>
      <w:lang w:val="en-GB" w:eastAsia="en-AU"/>
    </w:rPr>
  </w:style>
  <w:style w:type="paragraph" w:styleId="HeaderFPHFF-25072022-120425PM" w:customStyle="1">
    <w:name w:val="HeaderFPHFF-25072022-120425 PM"/>
    <w:rsid w:val="002764C0"/>
    <w:pPr>
      <w:spacing w:after="0" w:line="240" w:lineRule="auto"/>
    </w:pPr>
    <w:rPr>
      <w:rFonts w:ascii="Arial" w:hAnsi="Arial"/>
      <w:lang w:val="en-GB"/>
    </w:rPr>
  </w:style>
  <w:style w:type="character" w:styleId="Mention1" w:customStyle="1">
    <w:name w:val="Mention1"/>
    <w:basedOn w:val="DefaultParagraphFont"/>
    <w:uiPriority w:val="99"/>
    <w:unhideWhenUsed/>
    <w:rPr>
      <w:color w:val="2B579A"/>
      <w:shd w:val="clear" w:color="auto" w:fill="E6E6E6"/>
    </w:rPr>
  </w:style>
  <w:style w:type="character" w:styleId="Mention2" w:customStyle="1">
    <w:name w:val="Mention2"/>
    <w:basedOn w:val="DefaultParagraphFont"/>
    <w:uiPriority w:val="99"/>
    <w:unhideWhenUsed/>
    <w:rsid w:val="003775D0"/>
    <w:rPr>
      <w:color w:val="2B579A"/>
      <w:shd w:val="clear" w:color="auto" w:fill="E6E6E6"/>
    </w:rPr>
  </w:style>
</w:styles>
</file>

<file path=word/tasks.xml><?xml version="1.0" encoding="utf-8"?>
<t:Tasks xmlns:t="http://schemas.microsoft.com/office/tasks/2019/documenttasks" xmlns:oel="http://schemas.microsoft.com/office/2019/extlst">
  <t:Task id="{E31A45A2-AA96-401B-A8DF-6D5BA4664EE6}">
    <t:Anchor>
      <t:Comment id="1964270331"/>
    </t:Anchor>
    <t:History>
      <t:Event id="{22AD3FD3-3AD3-4973-9E5D-53C66D05F1AD}" time="2022-08-03T23:15:51.571Z">
        <t:Attribution userId="S::ben.sutherland@foodstandards.govt.nz::71214ace-93ff-4c2b-ac55-b25a2a15b28b" userProvider="AD" userName="Ben Sutherland"/>
        <t:Anchor>
          <t:Comment id="1964270331"/>
        </t:Anchor>
        <t:Create/>
      </t:Event>
      <t:Event id="{4F0B0F7D-7614-4997-A807-BA9742F195BE}" time="2022-08-03T23:15:51.571Z">
        <t:Attribution userId="S::ben.sutherland@foodstandards.govt.nz::71214ace-93ff-4c2b-ac55-b25a2a15b28b" userProvider="AD" userName="Ben Sutherland"/>
        <t:Anchor>
          <t:Comment id="1964270331"/>
        </t:Anchor>
        <t:Assign userId="S::Alex.Craven@foodstandards.gov.au::83db51fb-2038-4a69-a8ee-e10e7f5be095" userProvider="AD" userName="Alex Craven"/>
      </t:Event>
      <t:Event id="{D0006287-4FC8-47D8-8E63-04A8FE1B9D79}" time="2022-08-03T23:15:51.571Z">
        <t:Attribution userId="S::ben.sutherland@foodstandards.govt.nz::71214ace-93ff-4c2b-ac55-b25a2a15b28b" userProvider="AD" userName="Ben Sutherland"/>
        <t:Anchor>
          <t:Comment id="1964270331"/>
        </t:Anchor>
        <t:SetTitle title="…please. Can you please have a think on how we can do this as we need a pretty quick turnaround. Please give me a call (in meeting 9.30-10.30 your time) if you need any further explanation. Sally needs by Friday if possible to notify the FMM @Alex Crave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314">
      <w:bodyDiv w:val="1"/>
      <w:marLeft w:val="0"/>
      <w:marRight w:val="0"/>
      <w:marTop w:val="0"/>
      <w:marBottom w:val="0"/>
      <w:divBdr>
        <w:top w:val="none" w:sz="0" w:space="0" w:color="auto"/>
        <w:left w:val="none" w:sz="0" w:space="0" w:color="auto"/>
        <w:bottom w:val="none" w:sz="0" w:space="0" w:color="auto"/>
        <w:right w:val="none" w:sz="0" w:space="0" w:color="auto"/>
      </w:divBdr>
      <w:divsChild>
        <w:div w:id="1328434617">
          <w:marLeft w:val="0"/>
          <w:marRight w:val="0"/>
          <w:marTop w:val="0"/>
          <w:marBottom w:val="0"/>
          <w:divBdr>
            <w:top w:val="none" w:sz="0" w:space="0" w:color="auto"/>
            <w:left w:val="none" w:sz="0" w:space="0" w:color="auto"/>
            <w:bottom w:val="none" w:sz="0" w:space="0" w:color="auto"/>
            <w:right w:val="none" w:sz="0" w:space="0" w:color="auto"/>
          </w:divBdr>
        </w:div>
        <w:div w:id="1313288579">
          <w:marLeft w:val="0"/>
          <w:marRight w:val="0"/>
          <w:marTop w:val="0"/>
          <w:marBottom w:val="0"/>
          <w:divBdr>
            <w:top w:val="none" w:sz="0" w:space="0" w:color="auto"/>
            <w:left w:val="none" w:sz="0" w:space="0" w:color="auto"/>
            <w:bottom w:val="none" w:sz="0" w:space="0" w:color="auto"/>
            <w:right w:val="none" w:sz="0" w:space="0" w:color="auto"/>
          </w:divBdr>
        </w:div>
        <w:div w:id="1963801900">
          <w:marLeft w:val="0"/>
          <w:marRight w:val="0"/>
          <w:marTop w:val="0"/>
          <w:marBottom w:val="0"/>
          <w:divBdr>
            <w:top w:val="none" w:sz="0" w:space="0" w:color="auto"/>
            <w:left w:val="none" w:sz="0" w:space="0" w:color="auto"/>
            <w:bottom w:val="none" w:sz="0" w:space="0" w:color="auto"/>
            <w:right w:val="none" w:sz="0" w:space="0" w:color="auto"/>
          </w:divBdr>
        </w:div>
        <w:div w:id="1300576213">
          <w:marLeft w:val="0"/>
          <w:marRight w:val="0"/>
          <w:marTop w:val="0"/>
          <w:marBottom w:val="0"/>
          <w:divBdr>
            <w:top w:val="none" w:sz="0" w:space="0" w:color="auto"/>
            <w:left w:val="none" w:sz="0" w:space="0" w:color="auto"/>
            <w:bottom w:val="none" w:sz="0" w:space="0" w:color="auto"/>
            <w:right w:val="none" w:sz="0" w:space="0" w:color="auto"/>
          </w:divBdr>
        </w:div>
      </w:divsChild>
    </w:div>
    <w:div w:id="65540367">
      <w:bodyDiv w:val="1"/>
      <w:marLeft w:val="0"/>
      <w:marRight w:val="0"/>
      <w:marTop w:val="0"/>
      <w:marBottom w:val="0"/>
      <w:divBdr>
        <w:top w:val="none" w:sz="0" w:space="0" w:color="auto"/>
        <w:left w:val="none" w:sz="0" w:space="0" w:color="auto"/>
        <w:bottom w:val="none" w:sz="0" w:space="0" w:color="auto"/>
        <w:right w:val="none" w:sz="0" w:space="0" w:color="auto"/>
      </w:divBdr>
      <w:divsChild>
        <w:div w:id="2098861754">
          <w:marLeft w:val="0"/>
          <w:marRight w:val="0"/>
          <w:marTop w:val="0"/>
          <w:marBottom w:val="0"/>
          <w:divBdr>
            <w:top w:val="none" w:sz="0" w:space="0" w:color="auto"/>
            <w:left w:val="none" w:sz="0" w:space="0" w:color="auto"/>
            <w:bottom w:val="none" w:sz="0" w:space="0" w:color="auto"/>
            <w:right w:val="none" w:sz="0" w:space="0" w:color="auto"/>
          </w:divBdr>
        </w:div>
        <w:div w:id="1816991100">
          <w:marLeft w:val="0"/>
          <w:marRight w:val="0"/>
          <w:marTop w:val="0"/>
          <w:marBottom w:val="0"/>
          <w:divBdr>
            <w:top w:val="none" w:sz="0" w:space="0" w:color="auto"/>
            <w:left w:val="none" w:sz="0" w:space="0" w:color="auto"/>
            <w:bottom w:val="none" w:sz="0" w:space="0" w:color="auto"/>
            <w:right w:val="none" w:sz="0" w:space="0" w:color="auto"/>
          </w:divBdr>
        </w:div>
        <w:div w:id="1387487315">
          <w:marLeft w:val="0"/>
          <w:marRight w:val="0"/>
          <w:marTop w:val="0"/>
          <w:marBottom w:val="0"/>
          <w:divBdr>
            <w:top w:val="none" w:sz="0" w:space="0" w:color="auto"/>
            <w:left w:val="none" w:sz="0" w:space="0" w:color="auto"/>
            <w:bottom w:val="none" w:sz="0" w:space="0" w:color="auto"/>
            <w:right w:val="none" w:sz="0" w:space="0" w:color="auto"/>
          </w:divBdr>
        </w:div>
      </w:divsChild>
    </w:div>
    <w:div w:id="69735688">
      <w:bodyDiv w:val="1"/>
      <w:marLeft w:val="0"/>
      <w:marRight w:val="0"/>
      <w:marTop w:val="0"/>
      <w:marBottom w:val="0"/>
      <w:divBdr>
        <w:top w:val="none" w:sz="0" w:space="0" w:color="auto"/>
        <w:left w:val="none" w:sz="0" w:space="0" w:color="auto"/>
        <w:bottom w:val="none" w:sz="0" w:space="0" w:color="auto"/>
        <w:right w:val="none" w:sz="0" w:space="0" w:color="auto"/>
      </w:divBdr>
      <w:divsChild>
        <w:div w:id="1433041128">
          <w:marLeft w:val="0"/>
          <w:marRight w:val="0"/>
          <w:marTop w:val="0"/>
          <w:marBottom w:val="0"/>
          <w:divBdr>
            <w:top w:val="none" w:sz="0" w:space="0" w:color="auto"/>
            <w:left w:val="none" w:sz="0" w:space="0" w:color="auto"/>
            <w:bottom w:val="none" w:sz="0" w:space="0" w:color="auto"/>
            <w:right w:val="none" w:sz="0" w:space="0" w:color="auto"/>
          </w:divBdr>
          <w:divsChild>
            <w:div w:id="1728647693">
              <w:marLeft w:val="0"/>
              <w:marRight w:val="0"/>
              <w:marTop w:val="0"/>
              <w:marBottom w:val="0"/>
              <w:divBdr>
                <w:top w:val="none" w:sz="0" w:space="0" w:color="auto"/>
                <w:left w:val="none" w:sz="0" w:space="0" w:color="auto"/>
                <w:bottom w:val="none" w:sz="0" w:space="0" w:color="auto"/>
                <w:right w:val="none" w:sz="0" w:space="0" w:color="auto"/>
              </w:divBdr>
            </w:div>
            <w:div w:id="509173976">
              <w:marLeft w:val="0"/>
              <w:marRight w:val="0"/>
              <w:marTop w:val="0"/>
              <w:marBottom w:val="0"/>
              <w:divBdr>
                <w:top w:val="none" w:sz="0" w:space="0" w:color="auto"/>
                <w:left w:val="none" w:sz="0" w:space="0" w:color="auto"/>
                <w:bottom w:val="none" w:sz="0" w:space="0" w:color="auto"/>
                <w:right w:val="none" w:sz="0" w:space="0" w:color="auto"/>
              </w:divBdr>
            </w:div>
          </w:divsChild>
        </w:div>
        <w:div w:id="413668150">
          <w:marLeft w:val="0"/>
          <w:marRight w:val="0"/>
          <w:marTop w:val="0"/>
          <w:marBottom w:val="0"/>
          <w:divBdr>
            <w:top w:val="none" w:sz="0" w:space="0" w:color="auto"/>
            <w:left w:val="none" w:sz="0" w:space="0" w:color="auto"/>
            <w:bottom w:val="none" w:sz="0" w:space="0" w:color="auto"/>
            <w:right w:val="none" w:sz="0" w:space="0" w:color="auto"/>
          </w:divBdr>
          <w:divsChild>
            <w:div w:id="1159997109">
              <w:marLeft w:val="0"/>
              <w:marRight w:val="0"/>
              <w:marTop w:val="0"/>
              <w:marBottom w:val="0"/>
              <w:divBdr>
                <w:top w:val="none" w:sz="0" w:space="0" w:color="auto"/>
                <w:left w:val="none" w:sz="0" w:space="0" w:color="auto"/>
                <w:bottom w:val="none" w:sz="0" w:space="0" w:color="auto"/>
                <w:right w:val="none" w:sz="0" w:space="0" w:color="auto"/>
              </w:divBdr>
            </w:div>
            <w:div w:id="102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025">
      <w:bodyDiv w:val="1"/>
      <w:marLeft w:val="0"/>
      <w:marRight w:val="0"/>
      <w:marTop w:val="0"/>
      <w:marBottom w:val="0"/>
      <w:divBdr>
        <w:top w:val="none" w:sz="0" w:space="0" w:color="auto"/>
        <w:left w:val="none" w:sz="0" w:space="0" w:color="auto"/>
        <w:bottom w:val="none" w:sz="0" w:space="0" w:color="auto"/>
        <w:right w:val="none" w:sz="0" w:space="0" w:color="auto"/>
      </w:divBdr>
      <w:divsChild>
        <w:div w:id="1565794775">
          <w:marLeft w:val="0"/>
          <w:marRight w:val="0"/>
          <w:marTop w:val="0"/>
          <w:marBottom w:val="0"/>
          <w:divBdr>
            <w:top w:val="none" w:sz="0" w:space="0" w:color="auto"/>
            <w:left w:val="none" w:sz="0" w:space="0" w:color="auto"/>
            <w:bottom w:val="none" w:sz="0" w:space="0" w:color="auto"/>
            <w:right w:val="none" w:sz="0" w:space="0" w:color="auto"/>
          </w:divBdr>
        </w:div>
        <w:div w:id="1112211586">
          <w:marLeft w:val="0"/>
          <w:marRight w:val="0"/>
          <w:marTop w:val="0"/>
          <w:marBottom w:val="0"/>
          <w:divBdr>
            <w:top w:val="none" w:sz="0" w:space="0" w:color="auto"/>
            <w:left w:val="none" w:sz="0" w:space="0" w:color="auto"/>
            <w:bottom w:val="none" w:sz="0" w:space="0" w:color="auto"/>
            <w:right w:val="none" w:sz="0" w:space="0" w:color="auto"/>
          </w:divBdr>
        </w:div>
        <w:div w:id="2097239199">
          <w:marLeft w:val="0"/>
          <w:marRight w:val="0"/>
          <w:marTop w:val="0"/>
          <w:marBottom w:val="0"/>
          <w:divBdr>
            <w:top w:val="none" w:sz="0" w:space="0" w:color="auto"/>
            <w:left w:val="none" w:sz="0" w:space="0" w:color="auto"/>
            <w:bottom w:val="none" w:sz="0" w:space="0" w:color="auto"/>
            <w:right w:val="none" w:sz="0" w:space="0" w:color="auto"/>
          </w:divBdr>
        </w:div>
        <w:div w:id="1864200096">
          <w:marLeft w:val="0"/>
          <w:marRight w:val="0"/>
          <w:marTop w:val="0"/>
          <w:marBottom w:val="0"/>
          <w:divBdr>
            <w:top w:val="none" w:sz="0" w:space="0" w:color="auto"/>
            <w:left w:val="none" w:sz="0" w:space="0" w:color="auto"/>
            <w:bottom w:val="none" w:sz="0" w:space="0" w:color="auto"/>
            <w:right w:val="none" w:sz="0" w:space="0" w:color="auto"/>
          </w:divBdr>
        </w:div>
      </w:divsChild>
    </w:div>
    <w:div w:id="414322482">
      <w:bodyDiv w:val="1"/>
      <w:marLeft w:val="0"/>
      <w:marRight w:val="0"/>
      <w:marTop w:val="0"/>
      <w:marBottom w:val="0"/>
      <w:divBdr>
        <w:top w:val="none" w:sz="0" w:space="0" w:color="auto"/>
        <w:left w:val="none" w:sz="0" w:space="0" w:color="auto"/>
        <w:bottom w:val="none" w:sz="0" w:space="0" w:color="auto"/>
        <w:right w:val="none" w:sz="0" w:space="0" w:color="auto"/>
      </w:divBdr>
      <w:divsChild>
        <w:div w:id="1451507824">
          <w:marLeft w:val="0"/>
          <w:marRight w:val="0"/>
          <w:marTop w:val="0"/>
          <w:marBottom w:val="0"/>
          <w:divBdr>
            <w:top w:val="none" w:sz="0" w:space="0" w:color="auto"/>
            <w:left w:val="none" w:sz="0" w:space="0" w:color="auto"/>
            <w:bottom w:val="none" w:sz="0" w:space="0" w:color="auto"/>
            <w:right w:val="none" w:sz="0" w:space="0" w:color="auto"/>
          </w:divBdr>
        </w:div>
        <w:div w:id="738134500">
          <w:marLeft w:val="0"/>
          <w:marRight w:val="0"/>
          <w:marTop w:val="0"/>
          <w:marBottom w:val="0"/>
          <w:divBdr>
            <w:top w:val="none" w:sz="0" w:space="0" w:color="auto"/>
            <w:left w:val="none" w:sz="0" w:space="0" w:color="auto"/>
            <w:bottom w:val="none" w:sz="0" w:space="0" w:color="auto"/>
            <w:right w:val="none" w:sz="0" w:space="0" w:color="auto"/>
          </w:divBdr>
        </w:div>
        <w:div w:id="707485880">
          <w:marLeft w:val="0"/>
          <w:marRight w:val="0"/>
          <w:marTop w:val="0"/>
          <w:marBottom w:val="0"/>
          <w:divBdr>
            <w:top w:val="none" w:sz="0" w:space="0" w:color="auto"/>
            <w:left w:val="none" w:sz="0" w:space="0" w:color="auto"/>
            <w:bottom w:val="none" w:sz="0" w:space="0" w:color="auto"/>
            <w:right w:val="none" w:sz="0" w:space="0" w:color="auto"/>
          </w:divBdr>
          <w:divsChild>
            <w:div w:id="1569143860">
              <w:marLeft w:val="0"/>
              <w:marRight w:val="0"/>
              <w:marTop w:val="30"/>
              <w:marBottom w:val="30"/>
              <w:divBdr>
                <w:top w:val="none" w:sz="0" w:space="0" w:color="auto"/>
                <w:left w:val="none" w:sz="0" w:space="0" w:color="auto"/>
                <w:bottom w:val="none" w:sz="0" w:space="0" w:color="auto"/>
                <w:right w:val="none" w:sz="0" w:space="0" w:color="auto"/>
              </w:divBdr>
              <w:divsChild>
                <w:div w:id="44841954">
                  <w:marLeft w:val="0"/>
                  <w:marRight w:val="0"/>
                  <w:marTop w:val="0"/>
                  <w:marBottom w:val="0"/>
                  <w:divBdr>
                    <w:top w:val="none" w:sz="0" w:space="0" w:color="auto"/>
                    <w:left w:val="none" w:sz="0" w:space="0" w:color="auto"/>
                    <w:bottom w:val="none" w:sz="0" w:space="0" w:color="auto"/>
                    <w:right w:val="none" w:sz="0" w:space="0" w:color="auto"/>
                  </w:divBdr>
                  <w:divsChild>
                    <w:div w:id="85856594">
                      <w:marLeft w:val="0"/>
                      <w:marRight w:val="0"/>
                      <w:marTop w:val="0"/>
                      <w:marBottom w:val="0"/>
                      <w:divBdr>
                        <w:top w:val="none" w:sz="0" w:space="0" w:color="auto"/>
                        <w:left w:val="none" w:sz="0" w:space="0" w:color="auto"/>
                        <w:bottom w:val="none" w:sz="0" w:space="0" w:color="auto"/>
                        <w:right w:val="none" w:sz="0" w:space="0" w:color="auto"/>
                      </w:divBdr>
                    </w:div>
                  </w:divsChild>
                </w:div>
                <w:div w:id="1281645171">
                  <w:marLeft w:val="0"/>
                  <w:marRight w:val="0"/>
                  <w:marTop w:val="0"/>
                  <w:marBottom w:val="0"/>
                  <w:divBdr>
                    <w:top w:val="none" w:sz="0" w:space="0" w:color="auto"/>
                    <w:left w:val="none" w:sz="0" w:space="0" w:color="auto"/>
                    <w:bottom w:val="none" w:sz="0" w:space="0" w:color="auto"/>
                    <w:right w:val="none" w:sz="0" w:space="0" w:color="auto"/>
                  </w:divBdr>
                  <w:divsChild>
                    <w:div w:id="1632982588">
                      <w:marLeft w:val="0"/>
                      <w:marRight w:val="0"/>
                      <w:marTop w:val="0"/>
                      <w:marBottom w:val="0"/>
                      <w:divBdr>
                        <w:top w:val="none" w:sz="0" w:space="0" w:color="auto"/>
                        <w:left w:val="none" w:sz="0" w:space="0" w:color="auto"/>
                        <w:bottom w:val="none" w:sz="0" w:space="0" w:color="auto"/>
                        <w:right w:val="none" w:sz="0" w:space="0" w:color="auto"/>
                      </w:divBdr>
                    </w:div>
                  </w:divsChild>
                </w:div>
                <w:div w:id="1262251664">
                  <w:marLeft w:val="0"/>
                  <w:marRight w:val="0"/>
                  <w:marTop w:val="0"/>
                  <w:marBottom w:val="0"/>
                  <w:divBdr>
                    <w:top w:val="none" w:sz="0" w:space="0" w:color="auto"/>
                    <w:left w:val="none" w:sz="0" w:space="0" w:color="auto"/>
                    <w:bottom w:val="none" w:sz="0" w:space="0" w:color="auto"/>
                    <w:right w:val="none" w:sz="0" w:space="0" w:color="auto"/>
                  </w:divBdr>
                  <w:divsChild>
                    <w:div w:id="530654996">
                      <w:marLeft w:val="0"/>
                      <w:marRight w:val="0"/>
                      <w:marTop w:val="0"/>
                      <w:marBottom w:val="0"/>
                      <w:divBdr>
                        <w:top w:val="none" w:sz="0" w:space="0" w:color="auto"/>
                        <w:left w:val="none" w:sz="0" w:space="0" w:color="auto"/>
                        <w:bottom w:val="none" w:sz="0" w:space="0" w:color="auto"/>
                        <w:right w:val="none" w:sz="0" w:space="0" w:color="auto"/>
                      </w:divBdr>
                    </w:div>
                  </w:divsChild>
                </w:div>
                <w:div w:id="673843886">
                  <w:marLeft w:val="0"/>
                  <w:marRight w:val="0"/>
                  <w:marTop w:val="0"/>
                  <w:marBottom w:val="0"/>
                  <w:divBdr>
                    <w:top w:val="none" w:sz="0" w:space="0" w:color="auto"/>
                    <w:left w:val="none" w:sz="0" w:space="0" w:color="auto"/>
                    <w:bottom w:val="none" w:sz="0" w:space="0" w:color="auto"/>
                    <w:right w:val="none" w:sz="0" w:space="0" w:color="auto"/>
                  </w:divBdr>
                  <w:divsChild>
                    <w:div w:id="921597958">
                      <w:marLeft w:val="0"/>
                      <w:marRight w:val="0"/>
                      <w:marTop w:val="0"/>
                      <w:marBottom w:val="0"/>
                      <w:divBdr>
                        <w:top w:val="none" w:sz="0" w:space="0" w:color="auto"/>
                        <w:left w:val="none" w:sz="0" w:space="0" w:color="auto"/>
                        <w:bottom w:val="none" w:sz="0" w:space="0" w:color="auto"/>
                        <w:right w:val="none" w:sz="0" w:space="0" w:color="auto"/>
                      </w:divBdr>
                    </w:div>
                  </w:divsChild>
                </w:div>
                <w:div w:id="285159709">
                  <w:marLeft w:val="0"/>
                  <w:marRight w:val="0"/>
                  <w:marTop w:val="0"/>
                  <w:marBottom w:val="0"/>
                  <w:divBdr>
                    <w:top w:val="none" w:sz="0" w:space="0" w:color="auto"/>
                    <w:left w:val="none" w:sz="0" w:space="0" w:color="auto"/>
                    <w:bottom w:val="none" w:sz="0" w:space="0" w:color="auto"/>
                    <w:right w:val="none" w:sz="0" w:space="0" w:color="auto"/>
                  </w:divBdr>
                  <w:divsChild>
                    <w:div w:id="1013147475">
                      <w:marLeft w:val="0"/>
                      <w:marRight w:val="0"/>
                      <w:marTop w:val="0"/>
                      <w:marBottom w:val="0"/>
                      <w:divBdr>
                        <w:top w:val="none" w:sz="0" w:space="0" w:color="auto"/>
                        <w:left w:val="none" w:sz="0" w:space="0" w:color="auto"/>
                        <w:bottom w:val="none" w:sz="0" w:space="0" w:color="auto"/>
                        <w:right w:val="none" w:sz="0" w:space="0" w:color="auto"/>
                      </w:divBdr>
                    </w:div>
                  </w:divsChild>
                </w:div>
                <w:div w:id="527909788">
                  <w:marLeft w:val="0"/>
                  <w:marRight w:val="0"/>
                  <w:marTop w:val="0"/>
                  <w:marBottom w:val="0"/>
                  <w:divBdr>
                    <w:top w:val="none" w:sz="0" w:space="0" w:color="auto"/>
                    <w:left w:val="none" w:sz="0" w:space="0" w:color="auto"/>
                    <w:bottom w:val="none" w:sz="0" w:space="0" w:color="auto"/>
                    <w:right w:val="none" w:sz="0" w:space="0" w:color="auto"/>
                  </w:divBdr>
                  <w:divsChild>
                    <w:div w:id="12070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8194">
      <w:bodyDiv w:val="1"/>
      <w:marLeft w:val="0"/>
      <w:marRight w:val="0"/>
      <w:marTop w:val="0"/>
      <w:marBottom w:val="0"/>
      <w:divBdr>
        <w:top w:val="none" w:sz="0" w:space="0" w:color="auto"/>
        <w:left w:val="none" w:sz="0" w:space="0" w:color="auto"/>
        <w:bottom w:val="none" w:sz="0" w:space="0" w:color="auto"/>
        <w:right w:val="none" w:sz="0" w:space="0" w:color="auto"/>
      </w:divBdr>
      <w:divsChild>
        <w:div w:id="636493148">
          <w:marLeft w:val="0"/>
          <w:marRight w:val="0"/>
          <w:marTop w:val="0"/>
          <w:marBottom w:val="0"/>
          <w:divBdr>
            <w:top w:val="none" w:sz="0" w:space="0" w:color="auto"/>
            <w:left w:val="none" w:sz="0" w:space="0" w:color="auto"/>
            <w:bottom w:val="none" w:sz="0" w:space="0" w:color="auto"/>
            <w:right w:val="none" w:sz="0" w:space="0" w:color="auto"/>
          </w:divBdr>
        </w:div>
        <w:div w:id="1484541080">
          <w:marLeft w:val="0"/>
          <w:marRight w:val="0"/>
          <w:marTop w:val="0"/>
          <w:marBottom w:val="0"/>
          <w:divBdr>
            <w:top w:val="none" w:sz="0" w:space="0" w:color="auto"/>
            <w:left w:val="none" w:sz="0" w:space="0" w:color="auto"/>
            <w:bottom w:val="none" w:sz="0" w:space="0" w:color="auto"/>
            <w:right w:val="none" w:sz="0" w:space="0" w:color="auto"/>
          </w:divBdr>
        </w:div>
        <w:div w:id="2114322871">
          <w:marLeft w:val="0"/>
          <w:marRight w:val="0"/>
          <w:marTop w:val="0"/>
          <w:marBottom w:val="0"/>
          <w:divBdr>
            <w:top w:val="none" w:sz="0" w:space="0" w:color="auto"/>
            <w:left w:val="none" w:sz="0" w:space="0" w:color="auto"/>
            <w:bottom w:val="none" w:sz="0" w:space="0" w:color="auto"/>
            <w:right w:val="none" w:sz="0" w:space="0" w:color="auto"/>
          </w:divBdr>
        </w:div>
        <w:div w:id="1505973221">
          <w:marLeft w:val="0"/>
          <w:marRight w:val="0"/>
          <w:marTop w:val="0"/>
          <w:marBottom w:val="0"/>
          <w:divBdr>
            <w:top w:val="none" w:sz="0" w:space="0" w:color="auto"/>
            <w:left w:val="none" w:sz="0" w:space="0" w:color="auto"/>
            <w:bottom w:val="none" w:sz="0" w:space="0" w:color="auto"/>
            <w:right w:val="none" w:sz="0" w:space="0" w:color="auto"/>
          </w:divBdr>
        </w:div>
        <w:div w:id="160125576">
          <w:marLeft w:val="0"/>
          <w:marRight w:val="0"/>
          <w:marTop w:val="0"/>
          <w:marBottom w:val="0"/>
          <w:divBdr>
            <w:top w:val="none" w:sz="0" w:space="0" w:color="auto"/>
            <w:left w:val="none" w:sz="0" w:space="0" w:color="auto"/>
            <w:bottom w:val="none" w:sz="0" w:space="0" w:color="auto"/>
            <w:right w:val="none" w:sz="0" w:space="0" w:color="auto"/>
          </w:divBdr>
        </w:div>
        <w:div w:id="1043795644">
          <w:marLeft w:val="0"/>
          <w:marRight w:val="0"/>
          <w:marTop w:val="0"/>
          <w:marBottom w:val="0"/>
          <w:divBdr>
            <w:top w:val="none" w:sz="0" w:space="0" w:color="auto"/>
            <w:left w:val="none" w:sz="0" w:space="0" w:color="auto"/>
            <w:bottom w:val="none" w:sz="0" w:space="0" w:color="auto"/>
            <w:right w:val="none" w:sz="0" w:space="0" w:color="auto"/>
          </w:divBdr>
        </w:div>
        <w:div w:id="1528568303">
          <w:marLeft w:val="0"/>
          <w:marRight w:val="0"/>
          <w:marTop w:val="0"/>
          <w:marBottom w:val="0"/>
          <w:divBdr>
            <w:top w:val="none" w:sz="0" w:space="0" w:color="auto"/>
            <w:left w:val="none" w:sz="0" w:space="0" w:color="auto"/>
            <w:bottom w:val="none" w:sz="0" w:space="0" w:color="auto"/>
            <w:right w:val="none" w:sz="0" w:space="0" w:color="auto"/>
          </w:divBdr>
        </w:div>
        <w:div w:id="1651669196">
          <w:marLeft w:val="0"/>
          <w:marRight w:val="0"/>
          <w:marTop w:val="0"/>
          <w:marBottom w:val="0"/>
          <w:divBdr>
            <w:top w:val="none" w:sz="0" w:space="0" w:color="auto"/>
            <w:left w:val="none" w:sz="0" w:space="0" w:color="auto"/>
            <w:bottom w:val="none" w:sz="0" w:space="0" w:color="auto"/>
            <w:right w:val="none" w:sz="0" w:space="0" w:color="auto"/>
          </w:divBdr>
        </w:div>
        <w:div w:id="1261186547">
          <w:marLeft w:val="0"/>
          <w:marRight w:val="0"/>
          <w:marTop w:val="0"/>
          <w:marBottom w:val="0"/>
          <w:divBdr>
            <w:top w:val="none" w:sz="0" w:space="0" w:color="auto"/>
            <w:left w:val="none" w:sz="0" w:space="0" w:color="auto"/>
            <w:bottom w:val="none" w:sz="0" w:space="0" w:color="auto"/>
            <w:right w:val="none" w:sz="0" w:space="0" w:color="auto"/>
          </w:divBdr>
        </w:div>
        <w:div w:id="1251429210">
          <w:marLeft w:val="0"/>
          <w:marRight w:val="0"/>
          <w:marTop w:val="0"/>
          <w:marBottom w:val="0"/>
          <w:divBdr>
            <w:top w:val="none" w:sz="0" w:space="0" w:color="auto"/>
            <w:left w:val="none" w:sz="0" w:space="0" w:color="auto"/>
            <w:bottom w:val="none" w:sz="0" w:space="0" w:color="auto"/>
            <w:right w:val="none" w:sz="0" w:space="0" w:color="auto"/>
          </w:divBdr>
        </w:div>
        <w:div w:id="1228565905">
          <w:marLeft w:val="0"/>
          <w:marRight w:val="0"/>
          <w:marTop w:val="0"/>
          <w:marBottom w:val="0"/>
          <w:divBdr>
            <w:top w:val="none" w:sz="0" w:space="0" w:color="auto"/>
            <w:left w:val="none" w:sz="0" w:space="0" w:color="auto"/>
            <w:bottom w:val="none" w:sz="0" w:space="0" w:color="auto"/>
            <w:right w:val="none" w:sz="0" w:space="0" w:color="auto"/>
          </w:divBdr>
        </w:div>
        <w:div w:id="2100757929">
          <w:marLeft w:val="0"/>
          <w:marRight w:val="0"/>
          <w:marTop w:val="0"/>
          <w:marBottom w:val="0"/>
          <w:divBdr>
            <w:top w:val="none" w:sz="0" w:space="0" w:color="auto"/>
            <w:left w:val="none" w:sz="0" w:space="0" w:color="auto"/>
            <w:bottom w:val="none" w:sz="0" w:space="0" w:color="auto"/>
            <w:right w:val="none" w:sz="0" w:space="0" w:color="auto"/>
          </w:divBdr>
        </w:div>
        <w:div w:id="1051028960">
          <w:marLeft w:val="0"/>
          <w:marRight w:val="0"/>
          <w:marTop w:val="0"/>
          <w:marBottom w:val="0"/>
          <w:divBdr>
            <w:top w:val="none" w:sz="0" w:space="0" w:color="auto"/>
            <w:left w:val="none" w:sz="0" w:space="0" w:color="auto"/>
            <w:bottom w:val="none" w:sz="0" w:space="0" w:color="auto"/>
            <w:right w:val="none" w:sz="0" w:space="0" w:color="auto"/>
          </w:divBdr>
        </w:div>
        <w:div w:id="1224176035">
          <w:marLeft w:val="0"/>
          <w:marRight w:val="0"/>
          <w:marTop w:val="0"/>
          <w:marBottom w:val="0"/>
          <w:divBdr>
            <w:top w:val="none" w:sz="0" w:space="0" w:color="auto"/>
            <w:left w:val="none" w:sz="0" w:space="0" w:color="auto"/>
            <w:bottom w:val="none" w:sz="0" w:space="0" w:color="auto"/>
            <w:right w:val="none" w:sz="0" w:space="0" w:color="auto"/>
          </w:divBdr>
        </w:div>
        <w:div w:id="474689661">
          <w:marLeft w:val="0"/>
          <w:marRight w:val="0"/>
          <w:marTop w:val="0"/>
          <w:marBottom w:val="0"/>
          <w:divBdr>
            <w:top w:val="none" w:sz="0" w:space="0" w:color="auto"/>
            <w:left w:val="none" w:sz="0" w:space="0" w:color="auto"/>
            <w:bottom w:val="none" w:sz="0" w:space="0" w:color="auto"/>
            <w:right w:val="none" w:sz="0" w:space="0" w:color="auto"/>
          </w:divBdr>
        </w:div>
        <w:div w:id="1139688568">
          <w:marLeft w:val="0"/>
          <w:marRight w:val="0"/>
          <w:marTop w:val="0"/>
          <w:marBottom w:val="0"/>
          <w:divBdr>
            <w:top w:val="none" w:sz="0" w:space="0" w:color="auto"/>
            <w:left w:val="none" w:sz="0" w:space="0" w:color="auto"/>
            <w:bottom w:val="none" w:sz="0" w:space="0" w:color="auto"/>
            <w:right w:val="none" w:sz="0" w:space="0" w:color="auto"/>
          </w:divBdr>
        </w:div>
        <w:div w:id="1500149918">
          <w:marLeft w:val="0"/>
          <w:marRight w:val="0"/>
          <w:marTop w:val="0"/>
          <w:marBottom w:val="0"/>
          <w:divBdr>
            <w:top w:val="none" w:sz="0" w:space="0" w:color="auto"/>
            <w:left w:val="none" w:sz="0" w:space="0" w:color="auto"/>
            <w:bottom w:val="none" w:sz="0" w:space="0" w:color="auto"/>
            <w:right w:val="none" w:sz="0" w:space="0" w:color="auto"/>
          </w:divBdr>
        </w:div>
        <w:div w:id="2124692691">
          <w:marLeft w:val="0"/>
          <w:marRight w:val="0"/>
          <w:marTop w:val="0"/>
          <w:marBottom w:val="0"/>
          <w:divBdr>
            <w:top w:val="none" w:sz="0" w:space="0" w:color="auto"/>
            <w:left w:val="none" w:sz="0" w:space="0" w:color="auto"/>
            <w:bottom w:val="none" w:sz="0" w:space="0" w:color="auto"/>
            <w:right w:val="none" w:sz="0" w:space="0" w:color="auto"/>
          </w:divBdr>
        </w:div>
        <w:div w:id="2096707379">
          <w:marLeft w:val="0"/>
          <w:marRight w:val="0"/>
          <w:marTop w:val="0"/>
          <w:marBottom w:val="0"/>
          <w:divBdr>
            <w:top w:val="none" w:sz="0" w:space="0" w:color="auto"/>
            <w:left w:val="none" w:sz="0" w:space="0" w:color="auto"/>
            <w:bottom w:val="none" w:sz="0" w:space="0" w:color="auto"/>
            <w:right w:val="none" w:sz="0" w:space="0" w:color="auto"/>
          </w:divBdr>
        </w:div>
      </w:divsChild>
    </w:div>
    <w:div w:id="1251430957">
      <w:bodyDiv w:val="1"/>
      <w:marLeft w:val="0"/>
      <w:marRight w:val="0"/>
      <w:marTop w:val="0"/>
      <w:marBottom w:val="0"/>
      <w:divBdr>
        <w:top w:val="none" w:sz="0" w:space="0" w:color="auto"/>
        <w:left w:val="none" w:sz="0" w:space="0" w:color="auto"/>
        <w:bottom w:val="none" w:sz="0" w:space="0" w:color="auto"/>
        <w:right w:val="none" w:sz="0" w:space="0" w:color="auto"/>
      </w:divBdr>
      <w:divsChild>
        <w:div w:id="1822573046">
          <w:marLeft w:val="0"/>
          <w:marRight w:val="0"/>
          <w:marTop w:val="0"/>
          <w:marBottom w:val="0"/>
          <w:divBdr>
            <w:top w:val="none" w:sz="0" w:space="0" w:color="auto"/>
            <w:left w:val="none" w:sz="0" w:space="0" w:color="auto"/>
            <w:bottom w:val="none" w:sz="0" w:space="0" w:color="auto"/>
            <w:right w:val="none" w:sz="0" w:space="0" w:color="auto"/>
          </w:divBdr>
          <w:divsChild>
            <w:div w:id="2133555433">
              <w:marLeft w:val="0"/>
              <w:marRight w:val="0"/>
              <w:marTop w:val="0"/>
              <w:marBottom w:val="0"/>
              <w:divBdr>
                <w:top w:val="none" w:sz="0" w:space="0" w:color="auto"/>
                <w:left w:val="none" w:sz="0" w:space="0" w:color="auto"/>
                <w:bottom w:val="none" w:sz="0" w:space="0" w:color="auto"/>
                <w:right w:val="none" w:sz="0" w:space="0" w:color="auto"/>
              </w:divBdr>
            </w:div>
            <w:div w:id="1406298332">
              <w:marLeft w:val="0"/>
              <w:marRight w:val="0"/>
              <w:marTop w:val="0"/>
              <w:marBottom w:val="0"/>
              <w:divBdr>
                <w:top w:val="none" w:sz="0" w:space="0" w:color="auto"/>
                <w:left w:val="none" w:sz="0" w:space="0" w:color="auto"/>
                <w:bottom w:val="none" w:sz="0" w:space="0" w:color="auto"/>
                <w:right w:val="none" w:sz="0" w:space="0" w:color="auto"/>
              </w:divBdr>
            </w:div>
          </w:divsChild>
        </w:div>
        <w:div w:id="1149783798">
          <w:marLeft w:val="0"/>
          <w:marRight w:val="0"/>
          <w:marTop w:val="0"/>
          <w:marBottom w:val="0"/>
          <w:divBdr>
            <w:top w:val="none" w:sz="0" w:space="0" w:color="auto"/>
            <w:left w:val="none" w:sz="0" w:space="0" w:color="auto"/>
            <w:bottom w:val="none" w:sz="0" w:space="0" w:color="auto"/>
            <w:right w:val="none" w:sz="0" w:space="0" w:color="auto"/>
          </w:divBdr>
          <w:divsChild>
            <w:div w:id="413403574">
              <w:marLeft w:val="0"/>
              <w:marRight w:val="0"/>
              <w:marTop w:val="0"/>
              <w:marBottom w:val="0"/>
              <w:divBdr>
                <w:top w:val="none" w:sz="0" w:space="0" w:color="auto"/>
                <w:left w:val="none" w:sz="0" w:space="0" w:color="auto"/>
                <w:bottom w:val="none" w:sz="0" w:space="0" w:color="auto"/>
                <w:right w:val="none" w:sz="0" w:space="0" w:color="auto"/>
              </w:divBdr>
            </w:div>
            <w:div w:id="4097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8686">
      <w:bodyDiv w:val="1"/>
      <w:marLeft w:val="0"/>
      <w:marRight w:val="0"/>
      <w:marTop w:val="0"/>
      <w:marBottom w:val="0"/>
      <w:divBdr>
        <w:top w:val="none" w:sz="0" w:space="0" w:color="auto"/>
        <w:left w:val="none" w:sz="0" w:space="0" w:color="auto"/>
        <w:bottom w:val="none" w:sz="0" w:space="0" w:color="auto"/>
        <w:right w:val="none" w:sz="0" w:space="0" w:color="auto"/>
      </w:divBdr>
      <w:divsChild>
        <w:div w:id="418451245">
          <w:marLeft w:val="0"/>
          <w:marRight w:val="0"/>
          <w:marTop w:val="0"/>
          <w:marBottom w:val="0"/>
          <w:divBdr>
            <w:top w:val="none" w:sz="0" w:space="0" w:color="auto"/>
            <w:left w:val="none" w:sz="0" w:space="0" w:color="auto"/>
            <w:bottom w:val="none" w:sz="0" w:space="0" w:color="auto"/>
            <w:right w:val="none" w:sz="0" w:space="0" w:color="auto"/>
          </w:divBdr>
        </w:div>
        <w:div w:id="1113086738">
          <w:marLeft w:val="0"/>
          <w:marRight w:val="0"/>
          <w:marTop w:val="0"/>
          <w:marBottom w:val="0"/>
          <w:divBdr>
            <w:top w:val="none" w:sz="0" w:space="0" w:color="auto"/>
            <w:left w:val="none" w:sz="0" w:space="0" w:color="auto"/>
            <w:bottom w:val="none" w:sz="0" w:space="0" w:color="auto"/>
            <w:right w:val="none" w:sz="0" w:space="0" w:color="auto"/>
          </w:divBdr>
        </w:div>
        <w:div w:id="1767460061">
          <w:marLeft w:val="0"/>
          <w:marRight w:val="0"/>
          <w:marTop w:val="0"/>
          <w:marBottom w:val="0"/>
          <w:divBdr>
            <w:top w:val="none" w:sz="0" w:space="0" w:color="auto"/>
            <w:left w:val="none" w:sz="0" w:space="0" w:color="auto"/>
            <w:bottom w:val="none" w:sz="0" w:space="0" w:color="auto"/>
            <w:right w:val="none" w:sz="0" w:space="0" w:color="auto"/>
          </w:divBdr>
        </w:div>
      </w:divsChild>
    </w:div>
    <w:div w:id="1997874621">
      <w:bodyDiv w:val="1"/>
      <w:marLeft w:val="0"/>
      <w:marRight w:val="0"/>
      <w:marTop w:val="0"/>
      <w:marBottom w:val="0"/>
      <w:divBdr>
        <w:top w:val="none" w:sz="0" w:space="0" w:color="auto"/>
        <w:left w:val="none" w:sz="0" w:space="0" w:color="auto"/>
        <w:bottom w:val="none" w:sz="0" w:space="0" w:color="auto"/>
        <w:right w:val="none" w:sz="0" w:space="0" w:color="auto"/>
      </w:divBdr>
      <w:divsChild>
        <w:div w:id="2059938489">
          <w:marLeft w:val="0"/>
          <w:marRight w:val="0"/>
          <w:marTop w:val="0"/>
          <w:marBottom w:val="0"/>
          <w:divBdr>
            <w:top w:val="none" w:sz="0" w:space="0" w:color="auto"/>
            <w:left w:val="none" w:sz="0" w:space="0" w:color="auto"/>
            <w:bottom w:val="none" w:sz="0" w:space="0" w:color="auto"/>
            <w:right w:val="none" w:sz="0" w:space="0" w:color="auto"/>
          </w:divBdr>
        </w:div>
        <w:div w:id="2112387865">
          <w:marLeft w:val="0"/>
          <w:marRight w:val="0"/>
          <w:marTop w:val="0"/>
          <w:marBottom w:val="0"/>
          <w:divBdr>
            <w:top w:val="none" w:sz="0" w:space="0" w:color="auto"/>
            <w:left w:val="none" w:sz="0" w:space="0" w:color="auto"/>
            <w:bottom w:val="none" w:sz="0" w:space="0" w:color="auto"/>
            <w:right w:val="none" w:sz="0" w:space="0" w:color="auto"/>
          </w:divBdr>
        </w:div>
        <w:div w:id="271403879">
          <w:marLeft w:val="0"/>
          <w:marRight w:val="0"/>
          <w:marTop w:val="0"/>
          <w:marBottom w:val="0"/>
          <w:divBdr>
            <w:top w:val="none" w:sz="0" w:space="0" w:color="auto"/>
            <w:left w:val="none" w:sz="0" w:space="0" w:color="auto"/>
            <w:bottom w:val="none" w:sz="0" w:space="0" w:color="auto"/>
            <w:right w:val="none" w:sz="0" w:space="0" w:color="auto"/>
          </w:divBdr>
        </w:div>
        <w:div w:id="984041094">
          <w:marLeft w:val="0"/>
          <w:marRight w:val="0"/>
          <w:marTop w:val="0"/>
          <w:marBottom w:val="0"/>
          <w:divBdr>
            <w:top w:val="none" w:sz="0" w:space="0" w:color="auto"/>
            <w:left w:val="none" w:sz="0" w:space="0" w:color="auto"/>
            <w:bottom w:val="none" w:sz="0" w:space="0" w:color="auto"/>
            <w:right w:val="none" w:sz="0" w:space="0" w:color="auto"/>
          </w:divBdr>
        </w:div>
        <w:div w:id="558050422">
          <w:marLeft w:val="0"/>
          <w:marRight w:val="0"/>
          <w:marTop w:val="0"/>
          <w:marBottom w:val="0"/>
          <w:divBdr>
            <w:top w:val="none" w:sz="0" w:space="0" w:color="auto"/>
            <w:left w:val="none" w:sz="0" w:space="0" w:color="auto"/>
            <w:bottom w:val="none" w:sz="0" w:space="0" w:color="auto"/>
            <w:right w:val="none" w:sz="0" w:space="0" w:color="auto"/>
          </w:divBdr>
        </w:div>
        <w:div w:id="1324238177">
          <w:marLeft w:val="0"/>
          <w:marRight w:val="0"/>
          <w:marTop w:val="0"/>
          <w:marBottom w:val="0"/>
          <w:divBdr>
            <w:top w:val="none" w:sz="0" w:space="0" w:color="auto"/>
            <w:left w:val="none" w:sz="0" w:space="0" w:color="auto"/>
            <w:bottom w:val="none" w:sz="0" w:space="0" w:color="auto"/>
            <w:right w:val="none" w:sz="0" w:space="0" w:color="auto"/>
          </w:divBdr>
        </w:div>
        <w:div w:id="88309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ur-lex.europa.eu/legal-content/EN/TXT/?uri=CELEX:32008R1332" TargetMode="External"/><Relationship Id="rId3" Type="http://schemas.openxmlformats.org/officeDocument/2006/relationships/customXml" Target="../customXml/item3.xml"/><Relationship Id="rId21" Type="http://schemas.openxmlformats.org/officeDocument/2006/relationships/hyperlink" Target="http://www.fao.org/food/food-safety-quality/scientific-advice/jecfa/jecfa-additives/en/" TargetMode="External"/><Relationship Id="rId34"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oodstandards.gov.au/code/applications/Pages/A1238---Serine-endopeptidase-enzyme-from-GM-Trichoderma-reesei-.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iubmb.qmul.ac.uk/enzyme/EC3/4/21/65.html" TargetMode="External"/><Relationship Id="R16252f3904854b51"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legislation.gov.au" TargetMode="External"/><Relationship Id="Rc2a6cdb1d4294b17"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www.qmul.ac.uk/sbcs/iubmb/enzyme/EC34/3421a.html" TargetMode="External"/><Relationship Id="rId22" Type="http://schemas.openxmlformats.org/officeDocument/2006/relationships/image" Target="media/image2.png"/><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D491D7EC-3CD5-4240-9E31-758A63D25B6B}"/>
</file>

<file path=customXml/itemProps2.xml><?xml version="1.0" encoding="utf-8"?>
<ds:datastoreItem xmlns:ds="http://schemas.openxmlformats.org/officeDocument/2006/customXml" ds:itemID="{0B505931-875A-4018-BCFB-CA8AE11E2F19}"/>
</file>

<file path=customXml/itemProps3.xml><?xml version="1.0" encoding="utf-8"?>
<ds:datastoreItem xmlns:ds="http://schemas.openxmlformats.org/officeDocument/2006/customXml" ds:itemID="{5FAA6175-EDD7-454F-B9F0-B4432636A05D}"/>
</file>

<file path=customXml/itemProps4.xml><?xml version="1.0" encoding="utf-8"?>
<ds:datastoreItem xmlns:ds="http://schemas.openxmlformats.org/officeDocument/2006/customXml" ds:itemID="{35D917B8-6485-4015-B571-E61D2F9CC126}">
  <ds:schemaRefs>
    <ds:schemaRef ds:uri="Microsoft.SharePoint.Taxonomy.ContentTypeSync"/>
  </ds:schemaRefs>
</ds:datastoreItem>
</file>

<file path=customXml/itemProps5.xml><?xml version="1.0" encoding="utf-8"?>
<ds:datastoreItem xmlns:ds="http://schemas.openxmlformats.org/officeDocument/2006/customXml" ds:itemID="{D88F5929-0F47-418C-80AB-01481BE4C866}"/>
</file>

<file path=customXml/itemProps6.xml><?xml version="1.0" encoding="utf-8"?>
<ds:datastoreItem xmlns:ds="http://schemas.openxmlformats.org/officeDocument/2006/customXml" ds:itemID="{FFB87106-541B-455E-921C-0BEEB7497BF4}"/>
</file>

<file path=docProps/app.xml><?xml version="1.0" encoding="utf-8"?>
<Properties xmlns="http://schemas.openxmlformats.org/officeDocument/2006/extended-properties" xmlns:vt="http://schemas.openxmlformats.org/officeDocument/2006/docPropsVTypes">
  <Template>Normal</Template>
  <TotalTime>2</TotalTime>
  <Pages>1</Pages>
  <Words>6481</Words>
  <Characters>36945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Sutherland</dc:creator>
  <cp:keywords/>
  <dc:description/>
  <cp:lastModifiedBy>Sally Ronaldson</cp:lastModifiedBy>
  <cp:revision>6</cp:revision>
  <cp:lastPrinted>2022-08-09T05:10:00Z</cp:lastPrinted>
  <dcterms:created xsi:type="dcterms:W3CDTF">2022-08-09T05:06:00Z</dcterms:created>
  <dcterms:modified xsi:type="dcterms:W3CDTF">2022-08-09T05:10:00Z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Classification">
    <vt:lpwstr>1;#OFFICIAL|3776503d-ed4e-4d70-8dfd-8e17b238523b</vt:lpwstr>
  </property>
  <property fmtid="{D5CDD505-2E9C-101B-9397-08002B2CF9AE}" pid="4" name="pd3a3559ef84480a8025c4c7bb6e6dee">
    <vt:lpwstr/>
  </property>
  <property fmtid="{D5CDD505-2E9C-101B-9397-08002B2CF9AE}" pid="5" name="h46016694f704d158a57d0b5238c000e">
    <vt:lpwstr/>
  </property>
  <property fmtid="{D5CDD505-2E9C-101B-9397-08002B2CF9AE}" pid="6" name="Data_x0020_Privacy">
    <vt:lpwstr/>
  </property>
  <property fmtid="{D5CDD505-2E9C-101B-9397-08002B2CF9AE}" pid="7" name="BCS">
    <vt:lpwstr>2;#Evaluation|43cb9915-dbd2-4e45-b39d-7bc5c58c72da</vt:lpwstr>
  </property>
  <property fmtid="{D5CDD505-2E9C-101B-9397-08002B2CF9AE}" pid="8" name="Access">
    <vt:lpwstr/>
  </property>
  <property fmtid="{D5CDD505-2E9C-101B-9397-08002B2CF9AE}" pid="9" name="Data_x0020_Category">
    <vt:lpwstr/>
  </property>
  <property fmtid="{D5CDD505-2E9C-101B-9397-08002B2CF9AE}" pid="10" name="Data_x0020_Accessibility">
    <vt:lpwstr/>
  </property>
  <property fmtid="{D5CDD505-2E9C-101B-9397-08002B2CF9AE}" pid="11" name="o2e94e0b7bb742308b3aec7384781dc0">
    <vt:lpwstr/>
  </property>
  <property fmtid="{D5CDD505-2E9C-101B-9397-08002B2CF9AE}" pid="12" name="Data Privacy">
    <vt:lpwstr/>
  </property>
  <property fmtid="{D5CDD505-2E9C-101B-9397-08002B2CF9AE}" pid="13" name="Data Category">
    <vt:lpwstr/>
  </property>
  <property fmtid="{D5CDD505-2E9C-101B-9397-08002B2CF9AE}" pid="14" name="Data Accessibility">
    <vt:lpwstr/>
  </property>
  <property fmtid="{D5CDD505-2E9C-101B-9397-08002B2CF9AE}" pid="15" name="docIndexRef">
    <vt:lpwstr>0ec51458-eb68-4648-bce4-863e882e0f1a</vt:lpwstr>
  </property>
  <property fmtid="{D5CDD505-2E9C-101B-9397-08002B2CF9AE}" pid="16" name="bjSaver">
    <vt:lpwstr>yCG9O6vhD4XnroPJCTRWd33vlLyPjSAZ</vt:lpwstr>
  </property>
  <property fmtid="{D5CDD505-2E9C-101B-9397-08002B2CF9AE}" pid="17" name="bjClsUserRVM">
    <vt:lpwstr>[]</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